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DB" w:rsidRDefault="00C928D7">
      <w:pPr>
        <w:spacing w:line="360" w:lineRule="auto"/>
        <w:jc w:val="center"/>
        <w:rPr>
          <w:b/>
          <w:bCs/>
          <w:color w:val="000000"/>
          <w:lang w:val="id-ID"/>
        </w:rPr>
      </w:pPr>
      <w:r>
        <w:rPr>
          <w:b/>
          <w:bCs/>
          <w:color w:val="000000"/>
          <w:lang w:val="id-ID"/>
        </w:rPr>
        <w:t>MANHAJ MUHAMMADIYAH DI TENGAH KEMAJEMUKAN PAHAM AGAMA: KARAKTERISTIK MAZHAB ISLAM BERKEMAJUAN</w:t>
      </w:r>
    </w:p>
    <w:p w:rsidR="00571DDB" w:rsidRDefault="00C928D7">
      <w:pPr>
        <w:spacing w:line="360" w:lineRule="auto"/>
        <w:jc w:val="center"/>
        <w:rPr>
          <w:b/>
          <w:bCs/>
          <w:color w:val="000000"/>
          <w:lang w:val="id-ID"/>
        </w:rPr>
      </w:pPr>
      <w:r>
        <w:rPr>
          <w:b/>
          <w:bCs/>
          <w:color w:val="000000"/>
          <w:lang w:val="id-ID"/>
        </w:rPr>
        <w:t>Hamim Ilyas</w:t>
      </w:r>
    </w:p>
    <w:p w:rsidR="00571DDB" w:rsidRDefault="00571DDB">
      <w:pPr>
        <w:rPr>
          <w:b/>
          <w:bCs/>
        </w:rPr>
      </w:pPr>
    </w:p>
    <w:p w:rsidR="00571DDB" w:rsidRDefault="00C928D7">
      <w:pPr>
        <w:rPr>
          <w:b/>
          <w:bCs/>
        </w:rPr>
      </w:pPr>
      <w:r>
        <w:rPr>
          <w:b/>
          <w:bCs/>
        </w:rPr>
        <w:t>I.Pendahuluan</w:t>
      </w:r>
    </w:p>
    <w:p w:rsidR="00571DDB" w:rsidRDefault="00C928D7">
      <w:pPr>
        <w:pStyle w:val="ListParagraph"/>
        <w:numPr>
          <w:ilvl w:val="0"/>
          <w:numId w:val="9"/>
        </w:numPr>
        <w:spacing w:after="120" w:line="276" w:lineRule="auto"/>
        <w:ind w:left="720"/>
        <w:jc w:val="both"/>
      </w:pPr>
      <w:r>
        <w:rPr>
          <w:lang w:val="id-ID"/>
        </w:rPr>
        <w:t>Paham agama menurut Muhammadiyah ditegaskan dalam Matan Keyakinan dan Cita-cita Hidup Muhammadiyah (MKCHM) yang merupakan rumusan Tanwir Tahun 1969 di Ponorogo sebagai amanat Muktamar ke-37 di Yogyakarta(Haedar Nashir, 2013: xxii).</w:t>
      </w:r>
      <w:r>
        <w:t xml:space="preserve"> </w:t>
      </w:r>
    </w:p>
    <w:p w:rsidR="00571DDB" w:rsidRDefault="00C928D7">
      <w:pPr>
        <w:pStyle w:val="ListParagraph"/>
        <w:numPr>
          <w:ilvl w:val="0"/>
          <w:numId w:val="9"/>
        </w:numPr>
        <w:spacing w:after="120" w:line="276" w:lineRule="auto"/>
        <w:ind w:left="720"/>
        <w:jc w:val="both"/>
        <w:rPr>
          <w:b/>
          <w:bCs/>
        </w:rPr>
      </w:pPr>
      <w:r>
        <w:rPr>
          <w:lang w:val="id-ID"/>
        </w:rPr>
        <w:t>Apabila paham itu dipahami sebagai satu kesatuan  doktrin dari manhaj (sistem) Gerakan Muhammadiyah  yang meliputi ideologi (termasuk paham keagamaan), khittah dan langkah, maka jelas bahwa mazhab (jalan beragama) Muhammadiyah adalah mazhab yang komprehensif berwatak kemajuan dan dapat disebut Mazhab Islam Berkemajuan.</w:t>
      </w:r>
    </w:p>
    <w:p w:rsidR="00571DDB" w:rsidRDefault="00C928D7">
      <w:pPr>
        <w:pStyle w:val="ListParagraph"/>
        <w:numPr>
          <w:ilvl w:val="0"/>
          <w:numId w:val="9"/>
        </w:numPr>
        <w:spacing w:after="120" w:line="276" w:lineRule="auto"/>
        <w:ind w:left="720"/>
        <w:jc w:val="both"/>
        <w:rPr>
          <w:b/>
          <w:bCs/>
        </w:rPr>
      </w:pPr>
      <w:r>
        <w:rPr>
          <w:lang w:val="id-ID"/>
        </w:rPr>
        <w:t>Mazhab Islam Berkemajuan dalam Muhammadiyah menjadi jelas sosoknya jika dibandingkan dengan mazhab-mazhab kalam (akidah) yang berkembang dalam  pemikiran Islam.</w:t>
      </w:r>
      <w:r>
        <w:rPr>
          <w:b/>
          <w:bCs/>
        </w:rPr>
        <w:t xml:space="preserve"> </w:t>
      </w:r>
    </w:p>
    <w:p w:rsidR="00571DDB" w:rsidRDefault="00571DDB">
      <w:pPr>
        <w:spacing w:after="120" w:line="276" w:lineRule="auto"/>
        <w:jc w:val="both"/>
        <w:rPr>
          <w:b/>
          <w:bCs/>
        </w:rPr>
      </w:pPr>
    </w:p>
    <w:p w:rsidR="00571DDB" w:rsidRDefault="00C928D7">
      <w:pPr>
        <w:spacing w:after="120" w:line="276" w:lineRule="auto"/>
        <w:jc w:val="both"/>
        <w:rPr>
          <w:b/>
          <w:bCs/>
          <w:lang w:val="id-ID"/>
        </w:rPr>
      </w:pPr>
      <w:r>
        <w:rPr>
          <w:b/>
          <w:bCs/>
        </w:rPr>
        <w:t xml:space="preserve">II. </w:t>
      </w:r>
      <w:r>
        <w:rPr>
          <w:b/>
          <w:bCs/>
          <w:lang w:val="id-ID"/>
        </w:rPr>
        <w:t>Mazhab Islam Berkemajuan</w:t>
      </w:r>
    </w:p>
    <w:p w:rsidR="00571DDB" w:rsidRDefault="00C928D7">
      <w:pPr>
        <w:pStyle w:val="ListParagraph"/>
        <w:numPr>
          <w:ilvl w:val="0"/>
          <w:numId w:val="21"/>
        </w:numPr>
        <w:rPr>
          <w:b/>
          <w:bCs/>
          <w:lang w:val="id-ID"/>
        </w:rPr>
      </w:pPr>
      <w:r>
        <w:rPr>
          <w:b/>
          <w:bCs/>
          <w:lang w:val="id-ID"/>
        </w:rPr>
        <w:t xml:space="preserve">Muqaddimah Anggaran Dasar: Saptasila </w:t>
      </w:r>
      <w:r>
        <w:rPr>
          <w:b/>
          <w:bCs/>
          <w:i/>
          <w:iCs/>
          <w:lang w:val="id-ID"/>
        </w:rPr>
        <w:t>(al-Ushul as-Sab’ah)</w:t>
      </w:r>
    </w:p>
    <w:p w:rsidR="00571DDB" w:rsidRDefault="00C928D7">
      <w:pPr>
        <w:pStyle w:val="ListParagraph"/>
        <w:numPr>
          <w:ilvl w:val="0"/>
          <w:numId w:val="2"/>
        </w:numPr>
        <w:rPr>
          <w:lang w:val="id-ID"/>
        </w:rPr>
      </w:pPr>
      <w:r>
        <w:rPr>
          <w:lang w:val="id-ID"/>
        </w:rPr>
        <w:t>Ketuhanan (kehadiran Allah fungsional);</w:t>
      </w:r>
    </w:p>
    <w:p w:rsidR="00571DDB" w:rsidRDefault="00C928D7">
      <w:pPr>
        <w:pStyle w:val="ListParagraph"/>
        <w:numPr>
          <w:ilvl w:val="0"/>
          <w:numId w:val="2"/>
        </w:numPr>
        <w:rPr>
          <w:lang w:val="id-ID"/>
        </w:rPr>
      </w:pPr>
      <w:r>
        <w:rPr>
          <w:lang w:val="id-ID"/>
        </w:rPr>
        <w:t>Kemanusian (manusia makhluk sosial yang harus membangun peradaban);</w:t>
      </w:r>
    </w:p>
    <w:p w:rsidR="00571DDB" w:rsidRDefault="00C928D7">
      <w:pPr>
        <w:pStyle w:val="ListParagraph"/>
        <w:numPr>
          <w:ilvl w:val="0"/>
          <w:numId w:val="2"/>
        </w:numPr>
        <w:rPr>
          <w:lang w:val="id-ID"/>
        </w:rPr>
      </w:pPr>
      <w:r>
        <w:rPr>
          <w:lang w:val="id-ID"/>
        </w:rPr>
        <w:t>Kemasyarakatan (masyarakat sejahtera, aman, damai, makmur dan bahagia berdasarkan  kejujuran, persaudaraan, gotong royong dan tolong-menolong);</w:t>
      </w:r>
    </w:p>
    <w:p w:rsidR="00571DDB" w:rsidRDefault="00C928D7">
      <w:pPr>
        <w:pStyle w:val="ListParagraph"/>
        <w:numPr>
          <w:ilvl w:val="0"/>
          <w:numId w:val="2"/>
        </w:numPr>
        <w:rPr>
          <w:lang w:val="id-ID"/>
        </w:rPr>
      </w:pPr>
      <w:r>
        <w:rPr>
          <w:lang w:val="id-ID"/>
        </w:rPr>
        <w:t>Keagamaan (Islam adalah agama Allah yang diwahyukan kepada para nabi sejak Nabi Adam sampai dengan Nabi Muhammad SAW dan diajarkan kepada umat mereka masing-masing untuk mendapatkan hidup bahagia dunia dan akhirat);</w:t>
      </w:r>
    </w:p>
    <w:p w:rsidR="00571DDB" w:rsidRDefault="00C928D7">
      <w:pPr>
        <w:pStyle w:val="ListParagraph"/>
        <w:numPr>
          <w:ilvl w:val="0"/>
          <w:numId w:val="2"/>
        </w:numPr>
        <w:rPr>
          <w:lang w:val="id-ID"/>
        </w:rPr>
      </w:pPr>
      <w:r>
        <w:rPr>
          <w:i/>
          <w:iCs/>
          <w:lang w:val="id-ID"/>
        </w:rPr>
        <w:t>Ittiba’</w:t>
      </w:r>
      <w:r>
        <w:rPr>
          <w:lang w:val="id-ID"/>
        </w:rPr>
        <w:t xml:space="preserve"> Nabi (mewujudkan masyarakat idaman di atas dengan mengikuti Nabi dalam praktek kehidupan pribadi, praktek kehidupan sosial, praktek gagasan dan praktek gerakan);</w:t>
      </w:r>
    </w:p>
    <w:p w:rsidR="00571DDB" w:rsidRDefault="00C928D7">
      <w:pPr>
        <w:pStyle w:val="ListParagraph"/>
        <w:numPr>
          <w:ilvl w:val="0"/>
          <w:numId w:val="2"/>
        </w:numPr>
        <w:rPr>
          <w:lang w:val="id-ID"/>
        </w:rPr>
      </w:pPr>
      <w:r>
        <w:rPr>
          <w:lang w:val="id-ID"/>
        </w:rPr>
        <w:t>Dakwah dan amar ma’ruf nahi munkar (memperbaiki kehidupan melalui organisasi)</w:t>
      </w:r>
    </w:p>
    <w:p w:rsidR="00571DDB" w:rsidRDefault="00C928D7">
      <w:pPr>
        <w:pStyle w:val="ListParagraph"/>
        <w:numPr>
          <w:ilvl w:val="0"/>
          <w:numId w:val="2"/>
        </w:numPr>
        <w:rPr>
          <w:lang w:val="id-ID"/>
        </w:rPr>
      </w:pPr>
      <w:r>
        <w:rPr>
          <w:lang w:val="id-ID"/>
        </w:rPr>
        <w:t>Kenegaraan {</w:t>
      </w:r>
      <w:r>
        <w:rPr>
          <w:i/>
          <w:iCs/>
          <w:lang w:val="id-ID"/>
        </w:rPr>
        <w:t>baldatun thayyibatun wa rabbun ghafur</w:t>
      </w:r>
      <w:r>
        <w:rPr>
          <w:lang w:val="id-ID"/>
        </w:rPr>
        <w:t>: negara yang bersih, suci dan makmur di bawah lindungan Tuhan Yang Maha Pengampun(adil, makmur, berwawasan lingkungan hidup dan kejahatan terkendali)}.</w:t>
      </w:r>
    </w:p>
    <w:p w:rsidR="00571DDB" w:rsidRDefault="00C928D7">
      <w:pPr>
        <w:pStyle w:val="ListParagraph"/>
        <w:numPr>
          <w:ilvl w:val="0"/>
          <w:numId w:val="21"/>
        </w:numPr>
        <w:rPr>
          <w:b/>
          <w:bCs/>
          <w:lang w:val="id-ID"/>
        </w:rPr>
      </w:pPr>
      <w:r>
        <w:rPr>
          <w:b/>
          <w:bCs/>
          <w:lang w:val="id-ID"/>
        </w:rPr>
        <w:lastRenderedPageBreak/>
        <w:t>Masalah Lima: Prinsip-pinsip Muhammadiyah</w:t>
      </w:r>
    </w:p>
    <w:p w:rsidR="00571DDB" w:rsidRDefault="00C928D7">
      <w:pPr>
        <w:pStyle w:val="ListParagraph"/>
        <w:numPr>
          <w:ilvl w:val="0"/>
          <w:numId w:val="18"/>
        </w:numPr>
        <w:rPr>
          <w:lang w:val="id-ID"/>
        </w:rPr>
      </w:pPr>
      <w:r>
        <w:rPr>
          <w:lang w:val="id-ID"/>
        </w:rPr>
        <w:t>Agama positif: Islam adalah agama yang yang diwahyukan Allah untuk kebaikan hidup manusia di dunia dan di akhirat.</w:t>
      </w:r>
    </w:p>
    <w:p w:rsidR="00571DDB" w:rsidRDefault="00C928D7">
      <w:pPr>
        <w:pStyle w:val="ListParagraph"/>
        <w:numPr>
          <w:ilvl w:val="0"/>
          <w:numId w:val="18"/>
        </w:numPr>
        <w:rPr>
          <w:lang w:val="id-ID"/>
        </w:rPr>
      </w:pPr>
      <w:r>
        <w:rPr>
          <w:lang w:val="id-ID"/>
        </w:rPr>
        <w:t>Dunia positif: dunia adalah urusan-urusan yang diserahkan sepenuhnya kepada kebijaksanaan manusia.</w:t>
      </w:r>
    </w:p>
    <w:p w:rsidR="00571DDB" w:rsidRDefault="00C928D7">
      <w:pPr>
        <w:pStyle w:val="ListParagraph"/>
        <w:numPr>
          <w:ilvl w:val="0"/>
          <w:numId w:val="18"/>
        </w:numPr>
        <w:rPr>
          <w:lang w:val="id-ID"/>
        </w:rPr>
      </w:pPr>
      <w:r>
        <w:rPr>
          <w:lang w:val="id-ID"/>
        </w:rPr>
        <w:t xml:space="preserve">Ibadah positif: mendekatkan diri kepada Allah dengan ibadah </w:t>
      </w:r>
      <w:r>
        <w:rPr>
          <w:i/>
          <w:iCs/>
          <w:lang w:val="id-ID"/>
        </w:rPr>
        <w:t>mahdlah</w:t>
      </w:r>
      <w:r>
        <w:rPr>
          <w:lang w:val="id-ID"/>
        </w:rPr>
        <w:t xml:space="preserve"> dan ibadah </w:t>
      </w:r>
      <w:r>
        <w:rPr>
          <w:i/>
          <w:iCs/>
          <w:lang w:val="id-ID"/>
        </w:rPr>
        <w:t xml:space="preserve">‘ammah </w:t>
      </w:r>
      <w:r>
        <w:rPr>
          <w:lang w:val="id-ID"/>
        </w:rPr>
        <w:t>(anti sekularisme terselubung)</w:t>
      </w:r>
      <w:r>
        <w:rPr>
          <w:i/>
          <w:iCs/>
          <w:lang w:val="id-ID"/>
        </w:rPr>
        <w:t>.</w:t>
      </w:r>
    </w:p>
    <w:p w:rsidR="00571DDB" w:rsidRDefault="00C928D7">
      <w:pPr>
        <w:pStyle w:val="ListParagraph"/>
        <w:numPr>
          <w:ilvl w:val="0"/>
          <w:numId w:val="18"/>
        </w:numPr>
        <w:rPr>
          <w:lang w:val="id-ID"/>
        </w:rPr>
      </w:pPr>
      <w:r>
        <w:rPr>
          <w:lang w:val="id-ID"/>
        </w:rPr>
        <w:t xml:space="preserve">Jalan perjuangan positif: sabilillah adalah  jalan untuk mendapatkan ridla Allah dengan meninggikan kalimah-Nya </w:t>
      </w:r>
      <w:r>
        <w:rPr>
          <w:i/>
          <w:iCs/>
          <w:lang w:val="id-ID"/>
        </w:rPr>
        <w:t xml:space="preserve">(kalimah thayyibah) </w:t>
      </w:r>
      <w:r>
        <w:rPr>
          <w:lang w:val="id-ID"/>
        </w:rPr>
        <w:t>dan ketentuan-ketentuann-Nya.</w:t>
      </w:r>
    </w:p>
    <w:p w:rsidR="00571DDB" w:rsidRDefault="00C928D7">
      <w:pPr>
        <w:pStyle w:val="ListParagraph"/>
        <w:numPr>
          <w:ilvl w:val="0"/>
          <w:numId w:val="18"/>
        </w:numPr>
        <w:rPr>
          <w:lang w:val="id-ID"/>
        </w:rPr>
      </w:pPr>
      <w:r>
        <w:rPr>
          <w:lang w:val="id-ID"/>
        </w:rPr>
        <w:t xml:space="preserve">Pemikiran positif: ijtihad dan </w:t>
      </w:r>
      <w:r>
        <w:rPr>
          <w:i/>
          <w:iCs/>
          <w:lang w:val="id-ID"/>
        </w:rPr>
        <w:t>istinbath</w:t>
      </w:r>
      <w:r>
        <w:rPr>
          <w:lang w:val="id-ID"/>
        </w:rPr>
        <w:t xml:space="preserve"> untuk menemukan pemikiran yang </w:t>
      </w:r>
      <w:r>
        <w:rPr>
          <w:i/>
          <w:iCs/>
          <w:lang w:val="id-ID"/>
        </w:rPr>
        <w:t>rajih,</w:t>
      </w:r>
      <w:r>
        <w:rPr>
          <w:lang w:val="id-ID"/>
        </w:rPr>
        <w:t xml:space="preserve"> dapat menjadi preferensi untuk mewujudkan masyarakat-negara idaman.</w:t>
      </w:r>
    </w:p>
    <w:p w:rsidR="00571DDB" w:rsidRDefault="00C928D7">
      <w:pPr>
        <w:pStyle w:val="ListParagraph"/>
        <w:numPr>
          <w:ilvl w:val="0"/>
          <w:numId w:val="21"/>
        </w:numPr>
        <w:ind w:left="851"/>
        <w:rPr>
          <w:b/>
          <w:bCs/>
          <w:lang w:val="id-ID"/>
        </w:rPr>
      </w:pPr>
      <w:r>
        <w:rPr>
          <w:b/>
          <w:bCs/>
          <w:lang w:val="id-ID"/>
        </w:rPr>
        <w:t>Kepribadian Muhammadiyah: Karakteristik  Muhammadiyah</w:t>
      </w:r>
    </w:p>
    <w:p w:rsidR="00571DDB" w:rsidRDefault="00C928D7">
      <w:pPr>
        <w:ind w:left="131" w:firstLine="720"/>
      </w:pPr>
      <w:r>
        <w:rPr>
          <w:lang w:val="id-ID"/>
        </w:rPr>
        <w:t xml:space="preserve">1. </w:t>
      </w:r>
      <w:r>
        <w:t>Beramal dan berjuang untuk perdamaian dan kesejahteraan</w:t>
      </w:r>
    </w:p>
    <w:p w:rsidR="00571DDB" w:rsidRDefault="00C928D7">
      <w:pPr>
        <w:ind w:left="131" w:firstLine="720"/>
      </w:pPr>
      <w:r>
        <w:t>2. Memperbanyak kawan dan mengamalkan ukhuwah Islamiyah.</w:t>
      </w:r>
    </w:p>
    <w:p w:rsidR="00571DDB" w:rsidRDefault="00C928D7">
      <w:pPr>
        <w:ind w:left="131" w:firstLine="720"/>
      </w:pPr>
      <w:r>
        <w:t>3. Lapang dada, luas pandangan dengan memegang teguh ajaran Islam.</w:t>
      </w:r>
    </w:p>
    <w:p w:rsidR="00571DDB" w:rsidRDefault="00C928D7">
      <w:pPr>
        <w:ind w:left="131" w:firstLine="720"/>
      </w:pPr>
      <w:r>
        <w:t>4. Bersifat keagamaan dan kemasyarakatan.</w:t>
      </w:r>
    </w:p>
    <w:p w:rsidR="00571DDB" w:rsidRDefault="00C928D7">
      <w:pPr>
        <w:ind w:left="1134" w:hanging="283"/>
      </w:pPr>
      <w:r>
        <w:t>5. Mengindahkan segala hukum, undang-undang, peraturan serta dasar dan falsafah negara yang sah.</w:t>
      </w:r>
    </w:p>
    <w:p w:rsidR="00571DDB" w:rsidRDefault="00C928D7">
      <w:pPr>
        <w:ind w:left="1134" w:hanging="283"/>
      </w:pPr>
      <w:r>
        <w:t>6. Amar ma’ruf nahi munkar dalam segala lapangan serta menjadi contoh teladan yang baik.</w:t>
      </w:r>
    </w:p>
    <w:p w:rsidR="00571DDB" w:rsidRDefault="00C928D7">
      <w:pPr>
        <w:ind w:left="1134" w:hanging="283"/>
      </w:pPr>
      <w:r>
        <w:rPr>
          <w:lang w:val="id-ID"/>
        </w:rPr>
        <w:t xml:space="preserve"> </w:t>
      </w:r>
      <w:r>
        <w:t xml:space="preserve">7. Aktif dalam perkembangan masyarakat dengan maksud </w:t>
      </w:r>
      <w:r>
        <w:rPr>
          <w:i/>
          <w:iCs/>
        </w:rPr>
        <w:t>islah</w:t>
      </w:r>
      <w:r>
        <w:t xml:space="preserve"> dan pembangunan sesuai dengan ajaran Islam.</w:t>
      </w:r>
    </w:p>
    <w:p w:rsidR="00571DDB" w:rsidRDefault="00C928D7">
      <w:pPr>
        <w:ind w:left="1134" w:hanging="283"/>
      </w:pPr>
      <w:r>
        <w:t>8. Kerjasama dengan golongan Islam manapun juga dalam usaha menyiarkan dan mengamalkan agama Islam serta membela kepentingannya.</w:t>
      </w:r>
    </w:p>
    <w:p w:rsidR="00571DDB" w:rsidRDefault="00C928D7">
      <w:pPr>
        <w:ind w:left="1134" w:hanging="283"/>
      </w:pPr>
      <w:proofErr w:type="gramStart"/>
      <w:r>
        <w:t>9.Membantu</w:t>
      </w:r>
      <w:proofErr w:type="gramEnd"/>
      <w:r>
        <w:t xml:space="preserve"> pemerintah serta bekerja sama dengan golongan lain dalam memelihara dan membangun negara untuk mencapai masyarakat adil dan makmur yang diridhai Allah SWT.</w:t>
      </w:r>
    </w:p>
    <w:p w:rsidR="00571DDB" w:rsidRDefault="00C928D7">
      <w:pPr>
        <w:ind w:left="851"/>
      </w:pPr>
      <w:r>
        <w:t xml:space="preserve">10. Bersifat adil serta kolektif ke dalam dan keluar dengan bijaksana. </w:t>
      </w:r>
    </w:p>
    <w:p w:rsidR="00571DDB" w:rsidRDefault="00C928D7">
      <w:pPr>
        <w:ind w:firstLine="360"/>
        <w:rPr>
          <w:b/>
          <w:bCs/>
          <w:lang w:val="id-ID"/>
        </w:rPr>
      </w:pPr>
      <w:r>
        <w:rPr>
          <w:b/>
          <w:bCs/>
          <w:lang w:val="id-ID"/>
        </w:rPr>
        <w:t>D. Paham Agama dalam Muhammadiyah</w:t>
      </w:r>
    </w:p>
    <w:p w:rsidR="00571DDB" w:rsidRDefault="00C928D7">
      <w:pPr>
        <w:pStyle w:val="ListParagraph"/>
        <w:numPr>
          <w:ilvl w:val="0"/>
          <w:numId w:val="10"/>
        </w:numPr>
        <w:rPr>
          <w:b/>
          <w:bCs/>
          <w:lang w:val="id-ID"/>
        </w:rPr>
      </w:pPr>
      <w:r>
        <w:rPr>
          <w:b/>
          <w:bCs/>
          <w:lang w:val="id-ID"/>
        </w:rPr>
        <w:t>Dasar:</w:t>
      </w:r>
    </w:p>
    <w:p w:rsidR="00571DDB" w:rsidRDefault="00C928D7">
      <w:pPr>
        <w:pStyle w:val="ListParagraph"/>
        <w:ind w:left="993" w:hanging="273"/>
        <w:rPr>
          <w:lang w:val="id-ID"/>
        </w:rPr>
      </w:pPr>
      <w:r>
        <w:rPr>
          <w:b/>
          <w:bCs/>
          <w:lang w:val="id-ID"/>
        </w:rPr>
        <w:t>a. al-Qur’an :</w:t>
      </w:r>
      <w:r>
        <w:rPr>
          <w:lang w:val="id-ID"/>
        </w:rPr>
        <w:t xml:space="preserve"> kitab Allah yang diwahyukan kepada Nabi Muhammad SAW.</w:t>
      </w:r>
    </w:p>
    <w:p w:rsidR="00571DDB" w:rsidRDefault="00C928D7">
      <w:pPr>
        <w:pStyle w:val="ListParagraph"/>
        <w:numPr>
          <w:ilvl w:val="0"/>
          <w:numId w:val="1"/>
        </w:numPr>
        <w:spacing w:after="120" w:line="276" w:lineRule="auto"/>
        <w:ind w:left="993" w:hanging="284"/>
        <w:jc w:val="both"/>
        <w:rPr>
          <w:lang w:val="id-ID"/>
        </w:rPr>
      </w:pPr>
      <w:r>
        <w:rPr>
          <w:lang w:val="id-ID"/>
        </w:rPr>
        <w:t>Al-Qur’an kitab agama yang menjadi rahmat (</w:t>
      </w:r>
      <w:r>
        <w:rPr>
          <w:i/>
          <w:iCs/>
          <w:lang w:val="id-ID"/>
        </w:rPr>
        <w:t>Rahmah</w:t>
      </w:r>
      <w:r>
        <w:rPr>
          <w:lang w:val="id-ID"/>
        </w:rPr>
        <w:t xml:space="preserve"> adalah </w:t>
      </w:r>
      <w:r>
        <w:rPr>
          <w:i/>
          <w:iCs/>
          <w:lang w:val="id-ID"/>
        </w:rPr>
        <w:t xml:space="preserve">riqqatun taqtadlil ihsana ilal marhumi, </w:t>
      </w:r>
      <w:r>
        <w:rPr>
          <w:lang w:val="id-ID"/>
        </w:rPr>
        <w:t>perasaan halus/cinta yang mendorong untuk memberikan kebaikan nyata kepada yang dikasihi)</w:t>
      </w:r>
    </w:p>
    <w:p w:rsidR="00571DDB" w:rsidRDefault="00C928D7">
      <w:pPr>
        <w:pStyle w:val="ListParagraph"/>
        <w:numPr>
          <w:ilvl w:val="0"/>
          <w:numId w:val="25"/>
        </w:numPr>
        <w:spacing w:after="120" w:line="276" w:lineRule="auto"/>
        <w:ind w:left="993" w:hanging="284"/>
        <w:jc w:val="both"/>
        <w:rPr>
          <w:lang w:val="id-ID"/>
        </w:rPr>
      </w:pPr>
      <w:r>
        <w:rPr>
          <w:lang w:val="id-ID"/>
        </w:rPr>
        <w:t xml:space="preserve">Tujuan pewahyuan al-Qur’an untuk mewujudkan hidup baik </w:t>
      </w:r>
      <w:r>
        <w:rPr>
          <w:i/>
          <w:iCs/>
          <w:lang w:val="id-ID"/>
        </w:rPr>
        <w:t>(hayah thayyibah)</w:t>
      </w:r>
      <w:r>
        <w:rPr>
          <w:lang w:val="id-ID"/>
        </w:rPr>
        <w:t xml:space="preserve"> di dunia dan di akhirat dengan indikator </w:t>
      </w:r>
      <w:r>
        <w:rPr>
          <w:i/>
          <w:iCs/>
          <w:lang w:val="id-ID"/>
        </w:rPr>
        <w:t xml:space="preserve">lahum ajruhum ‘inda rabbihim </w:t>
      </w:r>
      <w:r>
        <w:rPr>
          <w:lang w:val="id-ID"/>
        </w:rPr>
        <w:t xml:space="preserve">(sejahtera), </w:t>
      </w:r>
      <w:r>
        <w:rPr>
          <w:i/>
          <w:iCs/>
          <w:lang w:val="id-ID"/>
        </w:rPr>
        <w:t>wa la khaufun ‘alaihim</w:t>
      </w:r>
      <w:r>
        <w:rPr>
          <w:lang w:val="id-ID"/>
        </w:rPr>
        <w:t xml:space="preserve"> (damai), </w:t>
      </w:r>
      <w:r>
        <w:rPr>
          <w:i/>
          <w:iCs/>
          <w:lang w:val="id-ID"/>
        </w:rPr>
        <w:t>wa la hum yahzanun</w:t>
      </w:r>
      <w:r>
        <w:rPr>
          <w:lang w:val="id-ID"/>
        </w:rPr>
        <w:t xml:space="preserve"> (bahagia).</w:t>
      </w:r>
    </w:p>
    <w:p w:rsidR="00571DDB" w:rsidRDefault="00C928D7">
      <w:pPr>
        <w:pStyle w:val="ListParagraph"/>
        <w:numPr>
          <w:ilvl w:val="0"/>
          <w:numId w:val="25"/>
        </w:numPr>
        <w:spacing w:after="120" w:line="276" w:lineRule="auto"/>
        <w:ind w:left="993" w:hanging="284"/>
        <w:jc w:val="both"/>
        <w:rPr>
          <w:i/>
          <w:iCs/>
        </w:rPr>
      </w:pPr>
      <w:r>
        <w:lastRenderedPageBreak/>
        <w:t xml:space="preserve">Isi al-Qur’an: </w:t>
      </w:r>
      <w:r>
        <w:rPr>
          <w:i/>
          <w:iCs/>
        </w:rPr>
        <w:t xml:space="preserve">amrin hakim, bashair linnas, tibyan likulli syai’, al-haqq, </w:t>
      </w:r>
      <w:r>
        <w:t xml:space="preserve">dan </w:t>
      </w:r>
      <w:r>
        <w:rPr>
          <w:i/>
          <w:iCs/>
        </w:rPr>
        <w:t>hukman ‘arabiyyan.</w:t>
      </w:r>
    </w:p>
    <w:p w:rsidR="00571DDB" w:rsidRDefault="00C928D7">
      <w:pPr>
        <w:pStyle w:val="ListParagraph"/>
        <w:numPr>
          <w:ilvl w:val="0"/>
          <w:numId w:val="25"/>
        </w:numPr>
        <w:spacing w:after="120" w:line="276" w:lineRule="auto"/>
        <w:ind w:left="993" w:hanging="284"/>
        <w:jc w:val="both"/>
      </w:pPr>
      <w:r>
        <w:t xml:space="preserve">Fungsi al-Qur’an: </w:t>
      </w:r>
      <w:r>
        <w:rPr>
          <w:i/>
          <w:iCs/>
        </w:rPr>
        <w:t xml:space="preserve">rahmah, </w:t>
      </w:r>
      <w:proofErr w:type="gramStart"/>
      <w:r>
        <w:rPr>
          <w:i/>
          <w:iCs/>
        </w:rPr>
        <w:t>huda</w:t>
      </w:r>
      <w:proofErr w:type="gramEnd"/>
      <w:r>
        <w:rPr>
          <w:i/>
          <w:iCs/>
        </w:rPr>
        <w:t>, syifa’, busyra, mau’idhah</w:t>
      </w:r>
      <w:r>
        <w:t xml:space="preserve"> dan </w:t>
      </w:r>
      <w:r>
        <w:rPr>
          <w:i/>
          <w:iCs/>
        </w:rPr>
        <w:t>“ruh”.</w:t>
      </w:r>
    </w:p>
    <w:p w:rsidR="00571DDB" w:rsidRDefault="00C928D7">
      <w:pPr>
        <w:pStyle w:val="ListParagraph"/>
        <w:numPr>
          <w:ilvl w:val="0"/>
          <w:numId w:val="25"/>
        </w:numPr>
        <w:spacing w:after="120" w:line="276" w:lineRule="auto"/>
        <w:ind w:left="993" w:hanging="284"/>
        <w:jc w:val="both"/>
      </w:pPr>
      <w:r>
        <w:t xml:space="preserve">Penerapan al-Qur’an: dilakukan dengan </w:t>
      </w:r>
      <w:r>
        <w:rPr>
          <w:i/>
          <w:iCs/>
        </w:rPr>
        <w:t>al-hikmah</w:t>
      </w:r>
      <w:r>
        <w:t xml:space="preserve"> dan </w:t>
      </w:r>
      <w:r>
        <w:rPr>
          <w:i/>
          <w:iCs/>
        </w:rPr>
        <w:t xml:space="preserve">al-mizan </w:t>
      </w:r>
      <w:r>
        <w:t xml:space="preserve">(kebijaksanaan, realisme, ilmu pengetahuan, hasil musyawarah dan pengalaman masyarakat) melalui proses </w:t>
      </w:r>
      <w:r>
        <w:rPr>
          <w:i/>
          <w:iCs/>
        </w:rPr>
        <w:t>li tahkuma bainan nas</w:t>
      </w:r>
      <w:r>
        <w:t xml:space="preserve"> (membangun sitem, kultur dan struktur) dan </w:t>
      </w:r>
      <w:r>
        <w:rPr>
          <w:i/>
          <w:iCs/>
        </w:rPr>
        <w:t xml:space="preserve">li tukhrijan nas minadh dhulumati ilan nur </w:t>
      </w:r>
      <w:r>
        <w:t>(membangun pandangan hidup dan.jalan hidup)</w:t>
      </w:r>
    </w:p>
    <w:p w:rsidR="00571DDB" w:rsidRDefault="00C928D7">
      <w:pPr>
        <w:ind w:left="567"/>
      </w:pPr>
      <w:r>
        <w:rPr>
          <w:b/>
          <w:bCs/>
          <w:lang w:val="id-ID"/>
        </w:rPr>
        <w:t xml:space="preserve">b. </w:t>
      </w:r>
      <w:r>
        <w:rPr>
          <w:b/>
          <w:bCs/>
        </w:rPr>
        <w:t>.</w:t>
      </w:r>
      <w:r>
        <w:rPr>
          <w:b/>
          <w:bCs/>
          <w:lang w:val="id-ID"/>
        </w:rPr>
        <w:t>Sunnah Rasul:</w:t>
      </w:r>
      <w:r>
        <w:rPr>
          <w:lang w:val="id-ID"/>
        </w:rPr>
        <w:t xml:space="preserve"> penjelasan yang diberikan dan pelaksanaan ajaran-ajaran oleh Nabi Muhammad SAW.</w:t>
      </w:r>
    </w:p>
    <w:p w:rsidR="00571DDB" w:rsidRDefault="00C928D7">
      <w:pPr>
        <w:pStyle w:val="ListParagraph"/>
        <w:numPr>
          <w:ilvl w:val="0"/>
          <w:numId w:val="25"/>
        </w:numPr>
        <w:spacing w:after="120" w:line="276" w:lineRule="auto"/>
        <w:ind w:left="993" w:hanging="284"/>
        <w:jc w:val="both"/>
      </w:pPr>
      <w:r>
        <w:t xml:space="preserve">Tujuan kerasulan Nabi Muhammad untuk mewujudkan hidup baik </w:t>
      </w:r>
      <w:r>
        <w:rPr>
          <w:i/>
          <w:iCs/>
        </w:rPr>
        <w:t>(hayah thayyibah)</w:t>
      </w:r>
      <w:r>
        <w:t xml:space="preserve"> di dunia dan di akhirat dengan indikator </w:t>
      </w:r>
      <w:r>
        <w:rPr>
          <w:i/>
          <w:iCs/>
        </w:rPr>
        <w:t>lahum ajruhum ‘inda rabbihim</w:t>
      </w:r>
      <w:r>
        <w:t xml:space="preserve"> (sejahtera), </w:t>
      </w:r>
      <w:r>
        <w:rPr>
          <w:i/>
          <w:iCs/>
        </w:rPr>
        <w:t>wa la khaufun ‘alaihim</w:t>
      </w:r>
      <w:r>
        <w:t xml:space="preserve"> (damai), </w:t>
      </w:r>
      <w:r>
        <w:rPr>
          <w:i/>
          <w:iCs/>
        </w:rPr>
        <w:t>wa la hum yahzanun</w:t>
      </w:r>
      <w:r>
        <w:t xml:space="preserve"> (</w:t>
      </w:r>
      <w:proofErr w:type="gramStart"/>
      <w:r>
        <w:t>bahagia</w:t>
      </w:r>
      <w:proofErr w:type="gramEnd"/>
      <w:r>
        <w:t>).</w:t>
      </w:r>
    </w:p>
    <w:p w:rsidR="00571DDB" w:rsidRDefault="00C928D7">
      <w:pPr>
        <w:pStyle w:val="ListParagraph"/>
        <w:numPr>
          <w:ilvl w:val="0"/>
          <w:numId w:val="25"/>
        </w:numPr>
        <w:spacing w:after="120" w:line="276" w:lineRule="auto"/>
        <w:ind w:left="993" w:hanging="284"/>
        <w:jc w:val="both"/>
      </w:pPr>
      <w:r>
        <w:t xml:space="preserve">Misi Nabi Muhammad: </w:t>
      </w:r>
      <w:r>
        <w:rPr>
          <w:i/>
          <w:iCs/>
        </w:rPr>
        <w:t>basyir</w:t>
      </w:r>
      <w:r>
        <w:t xml:space="preserve"> dan </w:t>
      </w:r>
      <w:r>
        <w:rPr>
          <w:i/>
          <w:iCs/>
        </w:rPr>
        <w:t>nadzir,</w:t>
      </w:r>
      <w:r>
        <w:t xml:space="preserve"> bukan </w:t>
      </w:r>
      <w:r>
        <w:rPr>
          <w:i/>
          <w:iCs/>
        </w:rPr>
        <w:t>mushaithir.</w:t>
      </w:r>
    </w:p>
    <w:p w:rsidR="00571DDB" w:rsidRDefault="00C928D7">
      <w:pPr>
        <w:pStyle w:val="ListParagraph"/>
        <w:numPr>
          <w:ilvl w:val="0"/>
          <w:numId w:val="25"/>
        </w:numPr>
        <w:spacing w:after="120" w:line="276" w:lineRule="auto"/>
        <w:ind w:left="993" w:hanging="284"/>
        <w:jc w:val="both"/>
      </w:pPr>
      <w:r>
        <w:t xml:space="preserve">Nabi  mewujudkan rahmat hidup baik dengan melaksanakan tugas-tugas kenabian: </w:t>
      </w:r>
      <w:r>
        <w:rPr>
          <w:i/>
          <w:iCs/>
        </w:rPr>
        <w:t>innama bu’itstu li</w:t>
      </w:r>
      <w:r>
        <w:t xml:space="preserve"> </w:t>
      </w:r>
      <w:r>
        <w:rPr>
          <w:i/>
          <w:iCs/>
        </w:rPr>
        <w:t>utammima makarimal akhlaq</w:t>
      </w:r>
      <w:r>
        <w:t xml:space="preserve"> (saya diutus untuk menyempurnakan akhlak mulia/membangun sistem nilai); </w:t>
      </w:r>
      <w:r>
        <w:rPr>
          <w:i/>
          <w:iCs/>
        </w:rPr>
        <w:t>innama bu’itstu bi</w:t>
      </w:r>
      <w:r>
        <w:t xml:space="preserve"> </w:t>
      </w:r>
      <w:r>
        <w:rPr>
          <w:i/>
          <w:iCs/>
        </w:rPr>
        <w:t xml:space="preserve">al-hanifiyyah as-samhah </w:t>
      </w:r>
      <w:r>
        <w:t xml:space="preserve">{saya diutus dengan membawa agama </w:t>
      </w:r>
      <w:r>
        <w:rPr>
          <w:i/>
          <w:iCs/>
        </w:rPr>
        <w:t>hanif</w:t>
      </w:r>
      <w:r>
        <w:t xml:space="preserve"> (agama yang menjamin tercapainya tujuan hidup dan tujuan penyelenggaraan bidang-bidang kehidupan) dan </w:t>
      </w:r>
      <w:r>
        <w:rPr>
          <w:i/>
          <w:iCs/>
        </w:rPr>
        <w:t>samhah</w:t>
      </w:r>
      <w:r>
        <w:t xml:space="preserve"> (agama yang tidak mengandung kesempitan/</w:t>
      </w:r>
      <w:r>
        <w:rPr>
          <w:i/>
          <w:iCs/>
        </w:rPr>
        <w:t>dlaiq</w:t>
      </w:r>
      <w:r>
        <w:t xml:space="preserve"> dan segala yang memberatkan/</w:t>
      </w:r>
      <w:r>
        <w:rPr>
          <w:i/>
          <w:iCs/>
        </w:rPr>
        <w:t>syiddah</w:t>
      </w:r>
      <w:r>
        <w:t>)}</w:t>
      </w:r>
      <w:r>
        <w:rPr>
          <w:i/>
          <w:iCs/>
        </w:rPr>
        <w:t>;</w:t>
      </w:r>
      <w:r>
        <w:t xml:space="preserve"> </w:t>
      </w:r>
      <w:r>
        <w:rPr>
          <w:i/>
          <w:iCs/>
        </w:rPr>
        <w:t>innama bu’itstu bi</w:t>
      </w:r>
      <w:r>
        <w:t xml:space="preserve"> </w:t>
      </w:r>
      <w:r>
        <w:rPr>
          <w:i/>
          <w:iCs/>
        </w:rPr>
        <w:t xml:space="preserve">jawami’ al-kalim </w:t>
      </w:r>
      <w:r>
        <w:t>(saya diutus dengan membawa hikmah)</w:t>
      </w:r>
      <w:r>
        <w:rPr>
          <w:i/>
          <w:iCs/>
        </w:rPr>
        <w:t>;</w:t>
      </w:r>
      <w:r>
        <w:t xml:space="preserve"> </w:t>
      </w:r>
      <w:r>
        <w:rPr>
          <w:i/>
          <w:iCs/>
        </w:rPr>
        <w:t>innama bu’itstu</w:t>
      </w:r>
      <w:r>
        <w:t xml:space="preserve"> </w:t>
      </w:r>
      <w:r>
        <w:rPr>
          <w:i/>
          <w:iCs/>
        </w:rPr>
        <w:t xml:space="preserve">mu’alliman muyassiran la mu’anntitan wa la muta’annitan </w:t>
      </w:r>
      <w:r>
        <w:t>(saya diutus sebagai pengajar-pencerah yang memudahkan, tidak memberatkan dan tidak menjerumuskan ke dalam kesulitan)</w:t>
      </w:r>
      <w:r>
        <w:rPr>
          <w:i/>
          <w:iCs/>
        </w:rPr>
        <w:t>;</w:t>
      </w:r>
      <w:r>
        <w:t xml:space="preserve"> dan </w:t>
      </w:r>
      <w:r>
        <w:rPr>
          <w:i/>
          <w:iCs/>
        </w:rPr>
        <w:t>innama bu’itstu</w:t>
      </w:r>
      <w:r>
        <w:t xml:space="preserve"> </w:t>
      </w:r>
      <w:r>
        <w:rPr>
          <w:i/>
          <w:iCs/>
        </w:rPr>
        <w:t xml:space="preserve">qasiman </w:t>
      </w:r>
      <w:r>
        <w:t>(saya diutus sebagai pembagi hak dan kewajiban)</w:t>
      </w:r>
      <w:r>
        <w:rPr>
          <w:i/>
          <w:iCs/>
        </w:rPr>
        <w:t>.</w:t>
      </w:r>
    </w:p>
    <w:p w:rsidR="00571DDB" w:rsidRDefault="00C928D7">
      <w:pPr>
        <w:pStyle w:val="ListParagraph"/>
        <w:numPr>
          <w:ilvl w:val="0"/>
          <w:numId w:val="10"/>
        </w:numPr>
        <w:rPr>
          <w:b/>
          <w:bCs/>
          <w:lang w:val="id-ID"/>
        </w:rPr>
      </w:pPr>
      <w:r>
        <w:rPr>
          <w:b/>
          <w:bCs/>
          <w:lang w:val="id-ID"/>
        </w:rPr>
        <w:t>Metodologi</w:t>
      </w:r>
    </w:p>
    <w:p w:rsidR="00571DDB" w:rsidRDefault="00C928D7">
      <w:pPr>
        <w:pStyle w:val="ListParagraph"/>
        <w:rPr>
          <w:lang w:val="id-ID"/>
        </w:rPr>
      </w:pPr>
      <w:r>
        <w:rPr>
          <w:lang w:val="id-ID"/>
        </w:rPr>
        <w:t>Menggunakan akal fikiran sesuai dengan jiwa ajaran Islam</w:t>
      </w:r>
    </w:p>
    <w:p w:rsidR="00571DDB" w:rsidRDefault="00C928D7">
      <w:pPr>
        <w:ind w:firstLine="720"/>
        <w:rPr>
          <w:b/>
          <w:bCs/>
        </w:rPr>
      </w:pPr>
      <w:r>
        <w:rPr>
          <w:b/>
          <w:bCs/>
          <w:lang w:val="id-ID"/>
        </w:rPr>
        <w:t xml:space="preserve">a. </w:t>
      </w:r>
      <w:r>
        <w:rPr>
          <w:b/>
          <w:bCs/>
        </w:rPr>
        <w:t>Perangkat analisis pemahaman al-Qur’an</w:t>
      </w:r>
    </w:p>
    <w:p w:rsidR="00571DDB" w:rsidRDefault="00C928D7">
      <w:pPr>
        <w:pStyle w:val="ListParagraph"/>
        <w:numPr>
          <w:ilvl w:val="0"/>
          <w:numId w:val="14"/>
        </w:numPr>
        <w:spacing w:after="120" w:line="276" w:lineRule="auto"/>
        <w:ind w:left="993" w:hanging="284"/>
        <w:jc w:val="lowKashida"/>
      </w:pPr>
      <w:r>
        <w:t>Asbab an-Nuzul (mikro dan makro; cara menemukan; kaedah-kaidah mikro; penerapan dalam penafsiran al-Qur'an)</w:t>
      </w:r>
    </w:p>
    <w:p w:rsidR="00571DDB" w:rsidRDefault="00C928D7">
      <w:pPr>
        <w:pStyle w:val="ListParagraph"/>
        <w:numPr>
          <w:ilvl w:val="0"/>
          <w:numId w:val="14"/>
        </w:numPr>
        <w:spacing w:after="120" w:line="276" w:lineRule="auto"/>
        <w:ind w:left="993" w:hanging="284"/>
        <w:jc w:val="lowKashida"/>
      </w:pPr>
      <w:r>
        <w:t>Munasabah (pengertian; postulat; cara menemukan; pembagian dan penerapan dalam penafsiran)</w:t>
      </w:r>
    </w:p>
    <w:p w:rsidR="00571DDB" w:rsidRDefault="00C928D7">
      <w:pPr>
        <w:pStyle w:val="ListParagraph"/>
        <w:numPr>
          <w:ilvl w:val="0"/>
          <w:numId w:val="14"/>
        </w:numPr>
        <w:spacing w:after="120" w:line="276" w:lineRule="auto"/>
        <w:ind w:left="993" w:hanging="284"/>
        <w:jc w:val="lowKashida"/>
      </w:pPr>
      <w:r>
        <w:t xml:space="preserve">Makkiyah dan Madaniyah {pengertian (tori geografis, teori subyektif, teori isi dan teori historis); cara menemukan; teori-teori </w:t>
      </w:r>
      <w:r>
        <w:rPr>
          <w:i/>
          <w:iCs/>
        </w:rPr>
        <w:t>dating;</w:t>
      </w:r>
      <w:r>
        <w:t xml:space="preserve"> penerapan dalam penafsian al-Qur'an)</w:t>
      </w:r>
    </w:p>
    <w:p w:rsidR="00571DDB" w:rsidRDefault="00C928D7">
      <w:pPr>
        <w:pStyle w:val="ListParagraph"/>
        <w:numPr>
          <w:ilvl w:val="0"/>
          <w:numId w:val="14"/>
        </w:numPr>
        <w:spacing w:after="120" w:line="276" w:lineRule="auto"/>
        <w:ind w:left="993" w:hanging="284"/>
        <w:jc w:val="lowKashida"/>
      </w:pPr>
      <w:r>
        <w:lastRenderedPageBreak/>
        <w:t xml:space="preserve">Nasikh dan Mansukh {titik tolak; pengertian (teori akomodasi [eksesif, </w:t>
      </w:r>
      <w:r>
        <w:rPr>
          <w:i/>
          <w:iCs/>
        </w:rPr>
        <w:t>mis-understanding</w:t>
      </w:r>
      <w:r>
        <w:t xml:space="preserve"> dan moderat], teori kritis dan teori dekonstruksi).</w:t>
      </w:r>
    </w:p>
    <w:p w:rsidR="00571DDB" w:rsidRDefault="00C928D7">
      <w:pPr>
        <w:pStyle w:val="ListParagraph"/>
        <w:numPr>
          <w:ilvl w:val="0"/>
          <w:numId w:val="14"/>
        </w:numPr>
        <w:spacing w:after="120" w:line="276" w:lineRule="auto"/>
        <w:ind w:left="993" w:hanging="284"/>
        <w:jc w:val="lowKashida"/>
      </w:pPr>
      <w:r>
        <w:t>Qira’at al-Qur’an (pengertian; asal-usul; variasi teks dan bacaan (</w:t>
      </w:r>
      <w:r>
        <w:rPr>
          <w:i/>
          <w:iCs/>
        </w:rPr>
        <w:t>nahwu, sharf; tajwid,</w:t>
      </w:r>
      <w:r>
        <w:t xml:space="preserve"> dialek); pembagian; syarat-syarat; penerapan dalam penafsiran al-Qur'an).</w:t>
      </w:r>
    </w:p>
    <w:p w:rsidR="00571DDB" w:rsidRDefault="00C928D7">
      <w:pPr>
        <w:pStyle w:val="ListParagraph"/>
        <w:numPr>
          <w:ilvl w:val="0"/>
          <w:numId w:val="14"/>
        </w:numPr>
        <w:spacing w:after="120" w:line="276" w:lineRule="auto"/>
        <w:ind w:left="993" w:hanging="284"/>
        <w:jc w:val="lowKashida"/>
      </w:pPr>
      <w:r>
        <w:t>Muhkam dan Mutasyabih {teori isi (Ibnu Abbas, Syamsu Rizal dan neo-modernisme); teori pengamalan; teori pemahaman (salaf, muta’akhirin, al-Asfahani); penerapan dalam penafsiran (ayat-ayat sifat dan untuk pembaruan Islam)</w:t>
      </w:r>
    </w:p>
    <w:p w:rsidR="00571DDB" w:rsidRDefault="00C928D7">
      <w:pPr>
        <w:pStyle w:val="ListParagraph"/>
        <w:numPr>
          <w:ilvl w:val="0"/>
          <w:numId w:val="14"/>
        </w:numPr>
        <w:spacing w:after="120" w:line="276" w:lineRule="auto"/>
        <w:ind w:left="993" w:hanging="284"/>
        <w:jc w:val="lowKashida"/>
      </w:pPr>
      <w:r>
        <w:t>Israiliyat (pengertian; pembagian; sikap ulama dalam kitab-kitab tafsir; penerapan dalam tafsir)</w:t>
      </w:r>
    </w:p>
    <w:p w:rsidR="00571DDB" w:rsidRDefault="00C928D7">
      <w:pPr>
        <w:pStyle w:val="ListParagraph"/>
        <w:numPr>
          <w:ilvl w:val="0"/>
          <w:numId w:val="14"/>
        </w:numPr>
        <w:spacing w:after="120" w:line="276" w:lineRule="auto"/>
        <w:ind w:left="993" w:hanging="284"/>
        <w:jc w:val="both"/>
      </w:pPr>
      <w:r>
        <w:t>Isytiqaq (pembentukan kata dalam bahasa Arab)</w:t>
      </w:r>
    </w:p>
    <w:p w:rsidR="00571DDB" w:rsidRDefault="00C928D7">
      <w:pPr>
        <w:pStyle w:val="ListParagraph"/>
        <w:numPr>
          <w:ilvl w:val="0"/>
          <w:numId w:val="14"/>
        </w:numPr>
        <w:spacing w:after="120" w:line="276" w:lineRule="auto"/>
        <w:ind w:left="993" w:hanging="284"/>
        <w:jc w:val="both"/>
      </w:pPr>
      <w:r>
        <w:t>Ilmu pengetahuan</w:t>
      </w:r>
    </w:p>
    <w:p w:rsidR="00571DDB" w:rsidRDefault="00571DDB">
      <w:pPr>
        <w:pStyle w:val="ListParagraph"/>
        <w:ind w:left="1080"/>
        <w:rPr>
          <w:lang w:val="id-ID"/>
        </w:rPr>
      </w:pPr>
    </w:p>
    <w:p w:rsidR="00571DDB" w:rsidRDefault="00C928D7">
      <w:pPr>
        <w:ind w:firstLine="360"/>
        <w:rPr>
          <w:b/>
          <w:bCs/>
        </w:rPr>
      </w:pPr>
      <w:r>
        <w:rPr>
          <w:b/>
          <w:bCs/>
          <w:lang w:val="id-ID"/>
        </w:rPr>
        <w:t xml:space="preserve">b </w:t>
      </w:r>
      <w:r>
        <w:rPr>
          <w:b/>
          <w:bCs/>
        </w:rPr>
        <w:t>.Perangkat analisis pemahaman hadis</w:t>
      </w:r>
    </w:p>
    <w:p w:rsidR="00571DDB" w:rsidRDefault="00C928D7">
      <w:pPr>
        <w:pStyle w:val="ListParagraph"/>
        <w:numPr>
          <w:ilvl w:val="0"/>
          <w:numId w:val="3"/>
        </w:numPr>
        <w:ind w:left="993" w:hanging="284"/>
        <w:jc w:val="both"/>
      </w:pPr>
      <w:r>
        <w:t>Pembagian hadis dari segi peran Nabi Muhammad</w:t>
      </w:r>
    </w:p>
    <w:p w:rsidR="00571DDB" w:rsidRDefault="00C928D7">
      <w:pPr>
        <w:pStyle w:val="ListParagraph"/>
        <w:numPr>
          <w:ilvl w:val="0"/>
          <w:numId w:val="3"/>
        </w:numPr>
        <w:ind w:left="993" w:hanging="284"/>
        <w:jc w:val="both"/>
      </w:pPr>
      <w:r>
        <w:t xml:space="preserve">Ilmu asbab wurudil hadits </w:t>
      </w:r>
    </w:p>
    <w:p w:rsidR="00571DDB" w:rsidRDefault="00C928D7">
      <w:pPr>
        <w:pStyle w:val="ListParagraph"/>
        <w:numPr>
          <w:ilvl w:val="0"/>
          <w:numId w:val="3"/>
        </w:numPr>
        <w:ind w:left="993" w:hanging="284"/>
        <w:jc w:val="both"/>
      </w:pPr>
      <w:r>
        <w:t>Ilmu mukhtalifil hadits</w:t>
      </w:r>
    </w:p>
    <w:p w:rsidR="00571DDB" w:rsidRDefault="00C928D7">
      <w:pPr>
        <w:pStyle w:val="ListParagraph"/>
        <w:numPr>
          <w:ilvl w:val="0"/>
          <w:numId w:val="10"/>
        </w:numPr>
        <w:rPr>
          <w:b/>
          <w:bCs/>
          <w:lang w:val="id-ID"/>
        </w:rPr>
      </w:pPr>
      <w:r>
        <w:rPr>
          <w:b/>
          <w:bCs/>
          <w:lang w:val="id-ID"/>
        </w:rPr>
        <w:t>Ruang Lingkup ajaran</w:t>
      </w:r>
    </w:p>
    <w:p w:rsidR="00571DDB" w:rsidRDefault="00C928D7">
      <w:pPr>
        <w:pStyle w:val="ListParagraph"/>
        <w:numPr>
          <w:ilvl w:val="0"/>
          <w:numId w:val="20"/>
        </w:numPr>
        <w:rPr>
          <w:lang w:val="id-ID"/>
        </w:rPr>
      </w:pPr>
      <w:r>
        <w:rPr>
          <w:lang w:val="id-ID"/>
        </w:rPr>
        <w:t>Akidah: ajaran yang berhubungan dengan kepercayaan/keyakinan (rukun iman)</w:t>
      </w:r>
    </w:p>
    <w:p w:rsidR="00571DDB" w:rsidRDefault="00C928D7">
      <w:pPr>
        <w:pStyle w:val="ListParagraph"/>
        <w:numPr>
          <w:ilvl w:val="0"/>
          <w:numId w:val="20"/>
        </w:numPr>
        <w:rPr>
          <w:lang w:val="id-ID"/>
        </w:rPr>
      </w:pPr>
      <w:r>
        <w:rPr>
          <w:lang w:val="id-ID"/>
        </w:rPr>
        <w:t>Akhlak: ajaran yang berhubungan dengan pembentukan sikap mental (tujuan hidup, orientasi hidup, cita-cita hidup, prinsip hidup,  kesetiaan dalam hidup, perilaku baik dan buruk).</w:t>
      </w:r>
    </w:p>
    <w:p w:rsidR="00571DDB" w:rsidRDefault="00C928D7">
      <w:pPr>
        <w:pStyle w:val="ListParagraph"/>
        <w:numPr>
          <w:ilvl w:val="0"/>
          <w:numId w:val="20"/>
        </w:numPr>
        <w:rPr>
          <w:lang w:val="id-ID"/>
        </w:rPr>
      </w:pPr>
      <w:r>
        <w:rPr>
          <w:lang w:val="id-ID"/>
        </w:rPr>
        <w:t>Ibadah: ajaran yang berhubungan dengan peraturan dan tata hubungan manusia dengan Tuhan (dimensi spiritual, dimensi moral, dimensi sosial dan dimensi ritual)</w:t>
      </w:r>
    </w:p>
    <w:p w:rsidR="00571DDB" w:rsidRDefault="00C928D7">
      <w:pPr>
        <w:pStyle w:val="ListParagraph"/>
        <w:numPr>
          <w:ilvl w:val="0"/>
          <w:numId w:val="20"/>
        </w:numPr>
        <w:rPr>
          <w:lang w:val="id-ID"/>
        </w:rPr>
      </w:pPr>
      <w:r>
        <w:rPr>
          <w:lang w:val="id-ID"/>
        </w:rPr>
        <w:t>Muamalah dunyawiyah: ajaran yang berhubungan dengan pengelolaan kehidupan manusia sebagai makhluk sosial dalam semua bidang:</w:t>
      </w:r>
    </w:p>
    <w:p w:rsidR="00571DDB" w:rsidRDefault="00571DDB">
      <w:pPr>
        <w:pStyle w:val="ListParagraph"/>
        <w:ind w:left="1080"/>
        <w:rPr>
          <w:lang w:val="id-ID"/>
        </w:rPr>
      </w:pPr>
    </w:p>
    <w:p w:rsidR="00571DDB" w:rsidRDefault="00C928D7">
      <w:pPr>
        <w:ind w:firstLine="720"/>
        <w:rPr>
          <w:b/>
          <w:bCs/>
        </w:rPr>
      </w:pPr>
      <w:r>
        <w:rPr>
          <w:b/>
          <w:bCs/>
          <w:lang w:val="id-ID"/>
        </w:rPr>
        <w:t>1)</w:t>
      </w:r>
      <w:r>
        <w:rPr>
          <w:b/>
          <w:bCs/>
        </w:rPr>
        <w:t>. Sosial-kemasyarakatan</w:t>
      </w:r>
    </w:p>
    <w:p w:rsidR="00571DDB" w:rsidRDefault="00C928D7">
      <w:pPr>
        <w:pStyle w:val="ListParagraph"/>
        <w:numPr>
          <w:ilvl w:val="0"/>
          <w:numId w:val="7"/>
        </w:numPr>
        <w:spacing w:after="120" w:line="276" w:lineRule="auto"/>
        <w:ind w:left="993" w:hanging="284"/>
        <w:jc w:val="both"/>
      </w:pPr>
      <w:r>
        <w:t xml:space="preserve">Identitas masyarakat Muslim: </w:t>
      </w:r>
      <w:r>
        <w:rPr>
          <w:i/>
          <w:iCs/>
        </w:rPr>
        <w:t>ummatan wasatha</w:t>
      </w:r>
    </w:p>
    <w:p w:rsidR="00571DDB" w:rsidRDefault="00C928D7">
      <w:pPr>
        <w:pStyle w:val="ListParagraph"/>
        <w:numPr>
          <w:ilvl w:val="0"/>
          <w:numId w:val="7"/>
        </w:numPr>
        <w:spacing w:after="120" w:line="276" w:lineRule="auto"/>
        <w:ind w:left="993" w:hanging="284"/>
        <w:jc w:val="both"/>
      </w:pPr>
      <w:r>
        <w:t xml:space="preserve">Jiwa masyarakat Muslim: </w:t>
      </w:r>
      <w:r>
        <w:rPr>
          <w:i/>
          <w:iCs/>
        </w:rPr>
        <w:t>ghairus sufaha’</w:t>
      </w:r>
    </w:p>
    <w:p w:rsidR="00571DDB" w:rsidRDefault="00C928D7">
      <w:pPr>
        <w:pStyle w:val="ListParagraph"/>
        <w:numPr>
          <w:ilvl w:val="0"/>
          <w:numId w:val="7"/>
        </w:numPr>
        <w:spacing w:after="120" w:line="276" w:lineRule="auto"/>
        <w:ind w:left="993" w:hanging="284"/>
        <w:jc w:val="both"/>
      </w:pPr>
      <w:r>
        <w:t xml:space="preserve">Sistem sosial masyarakat Muslim: egalitarianisme </w:t>
      </w:r>
      <w:r>
        <w:rPr>
          <w:i/>
          <w:iCs/>
        </w:rPr>
        <w:t>(li kullin wijhatun huwa muwalliha)</w:t>
      </w:r>
    </w:p>
    <w:p w:rsidR="00571DDB" w:rsidRDefault="00C928D7">
      <w:pPr>
        <w:pStyle w:val="ListParagraph"/>
        <w:numPr>
          <w:ilvl w:val="0"/>
          <w:numId w:val="7"/>
        </w:numPr>
        <w:spacing w:after="120" w:line="276" w:lineRule="auto"/>
        <w:ind w:left="993" w:hanging="284"/>
        <w:jc w:val="both"/>
      </w:pPr>
      <w:r>
        <w:t xml:space="preserve">Struktur sosial masyarakat Muslim: masyarakat majmuk </w:t>
      </w:r>
      <w:r>
        <w:rPr>
          <w:i/>
          <w:iCs/>
        </w:rPr>
        <w:t>(li kullin wijhatun huwa muwalliha)</w:t>
      </w:r>
    </w:p>
    <w:p w:rsidR="00571DDB" w:rsidRDefault="00C928D7">
      <w:pPr>
        <w:pStyle w:val="ListParagraph"/>
        <w:numPr>
          <w:ilvl w:val="0"/>
          <w:numId w:val="7"/>
        </w:numPr>
        <w:spacing w:after="120" w:line="276" w:lineRule="auto"/>
        <w:ind w:left="993" w:hanging="284"/>
        <w:jc w:val="both"/>
      </w:pPr>
      <w:r>
        <w:t xml:space="preserve">Kepribadian masyarakat Muslim: masyarakat unggul </w:t>
      </w:r>
      <w:r>
        <w:rPr>
          <w:i/>
          <w:iCs/>
        </w:rPr>
        <w:t>(fastabiqul khairat)</w:t>
      </w:r>
    </w:p>
    <w:p w:rsidR="00571DDB" w:rsidRDefault="00C928D7">
      <w:pPr>
        <w:pStyle w:val="ListParagraph"/>
        <w:numPr>
          <w:ilvl w:val="0"/>
          <w:numId w:val="7"/>
        </w:numPr>
        <w:spacing w:after="120" w:line="276" w:lineRule="auto"/>
        <w:ind w:left="993" w:hanging="284"/>
        <w:jc w:val="both"/>
      </w:pPr>
      <w:r>
        <w:t xml:space="preserve">Karakteristik masyarakat Muslim: </w:t>
      </w:r>
      <w:r>
        <w:rPr>
          <w:i/>
          <w:iCs/>
        </w:rPr>
        <w:t>the learning society (iqra’)</w:t>
      </w:r>
    </w:p>
    <w:p w:rsidR="00571DDB" w:rsidRDefault="00C928D7">
      <w:pPr>
        <w:pStyle w:val="ListParagraph"/>
        <w:numPr>
          <w:ilvl w:val="0"/>
          <w:numId w:val="7"/>
        </w:numPr>
        <w:spacing w:after="120" w:line="276" w:lineRule="auto"/>
        <w:ind w:left="993" w:hanging="284"/>
        <w:jc w:val="both"/>
      </w:pPr>
      <w:r>
        <w:lastRenderedPageBreak/>
        <w:t xml:space="preserve">Interaksi sosial baku masyarakat Muslim: akomodasi </w:t>
      </w:r>
      <w:r>
        <w:rPr>
          <w:i/>
          <w:iCs/>
        </w:rPr>
        <w:t>(li ta’arafu)</w:t>
      </w:r>
    </w:p>
    <w:p w:rsidR="00571DDB" w:rsidRDefault="00571DDB"/>
    <w:p w:rsidR="00571DDB" w:rsidRDefault="00C928D7">
      <w:pPr>
        <w:ind w:firstLine="709"/>
        <w:rPr>
          <w:b/>
          <w:bCs/>
        </w:rPr>
      </w:pPr>
      <w:r>
        <w:rPr>
          <w:b/>
          <w:bCs/>
          <w:lang w:val="id-ID"/>
        </w:rPr>
        <w:t>2)</w:t>
      </w:r>
      <w:r>
        <w:rPr>
          <w:b/>
          <w:bCs/>
        </w:rPr>
        <w:t>. Negara</w:t>
      </w:r>
    </w:p>
    <w:p w:rsidR="00571DDB" w:rsidRDefault="00C928D7">
      <w:pPr>
        <w:pStyle w:val="ListParagraph"/>
        <w:numPr>
          <w:ilvl w:val="0"/>
          <w:numId w:val="8"/>
        </w:numPr>
        <w:spacing w:after="120" w:line="276" w:lineRule="auto"/>
        <w:ind w:left="993" w:hanging="284"/>
        <w:jc w:val="both"/>
      </w:pPr>
      <w:r>
        <w:t xml:space="preserve">Negara ideal: </w:t>
      </w:r>
      <w:r>
        <w:rPr>
          <w:i/>
          <w:iCs/>
        </w:rPr>
        <w:t>baladan aminan</w:t>
      </w:r>
      <w:r>
        <w:t xml:space="preserve"> </w:t>
      </w:r>
      <w:r>
        <w:rPr>
          <w:i/>
          <w:iCs/>
        </w:rPr>
        <w:t xml:space="preserve">(warzuq ahlahu minats tsamarat ....), baldatun thayyibatun </w:t>
      </w:r>
      <w:proofErr w:type="gramStart"/>
      <w:r>
        <w:rPr>
          <w:i/>
          <w:iCs/>
        </w:rPr>
        <w:t>wa</w:t>
      </w:r>
      <w:proofErr w:type="gramEnd"/>
      <w:r>
        <w:rPr>
          <w:i/>
          <w:iCs/>
        </w:rPr>
        <w:t xml:space="preserve"> rabbun ghafur</w:t>
      </w:r>
      <w:r>
        <w:t xml:space="preserve"> dan </w:t>
      </w:r>
      <w:r>
        <w:rPr>
          <w:i/>
          <w:iCs/>
        </w:rPr>
        <w:t>al-balad al-amin.</w:t>
      </w:r>
    </w:p>
    <w:p w:rsidR="00571DDB" w:rsidRDefault="00C928D7">
      <w:pPr>
        <w:pStyle w:val="ListParagraph"/>
        <w:numPr>
          <w:ilvl w:val="0"/>
          <w:numId w:val="8"/>
        </w:numPr>
        <w:spacing w:after="120" w:line="276" w:lineRule="auto"/>
        <w:ind w:left="993" w:hanging="284"/>
        <w:jc w:val="both"/>
      </w:pPr>
      <w:r>
        <w:t>Asas-asas penyelenggaraan negara (an-Nisa’, 4: 58-59): amanah, keadilan, Ketuhanan (konstitusionalisme), kerasulan (negara hukum/negara kesejahteraan), ulil amri (perwakilan) dan asas legalitas.</w:t>
      </w:r>
    </w:p>
    <w:p w:rsidR="00571DDB" w:rsidRDefault="00C928D7">
      <w:pPr>
        <w:ind w:firstLine="709"/>
        <w:rPr>
          <w:b/>
          <w:bCs/>
        </w:rPr>
      </w:pPr>
      <w:r>
        <w:rPr>
          <w:b/>
          <w:bCs/>
          <w:lang w:val="id-ID"/>
        </w:rPr>
        <w:t>3)</w:t>
      </w:r>
      <w:r>
        <w:rPr>
          <w:b/>
          <w:bCs/>
        </w:rPr>
        <w:t>. Kebudayaan</w:t>
      </w:r>
    </w:p>
    <w:p w:rsidR="00571DDB" w:rsidRDefault="00C928D7">
      <w:pPr>
        <w:pStyle w:val="ListParagraph"/>
        <w:numPr>
          <w:ilvl w:val="0"/>
          <w:numId w:val="6"/>
        </w:numPr>
        <w:spacing w:after="120" w:line="276" w:lineRule="auto"/>
        <w:ind w:left="993" w:hanging="284"/>
        <w:jc w:val="both"/>
      </w:pPr>
      <w:r>
        <w:t>Kebudayaan adalah hidup yang dijalani manusia dengan belajar</w:t>
      </w:r>
    </w:p>
    <w:p w:rsidR="00571DDB" w:rsidRDefault="00C928D7">
      <w:pPr>
        <w:pStyle w:val="ListParagraph"/>
        <w:numPr>
          <w:ilvl w:val="0"/>
          <w:numId w:val="6"/>
        </w:numPr>
        <w:spacing w:before="240" w:after="120" w:line="276" w:lineRule="auto"/>
        <w:ind w:left="993" w:hanging="284"/>
        <w:jc w:val="both"/>
      </w:pPr>
      <w:r>
        <w:t xml:space="preserve">Kerangka kebudayaan (al-Jatsiyah, 45:  16-18): syariah </w:t>
      </w:r>
      <w:r>
        <w:rPr>
          <w:i/>
          <w:iCs/>
        </w:rPr>
        <w:t>(syari’atin minal amr)</w:t>
      </w:r>
      <w:r>
        <w:t xml:space="preserve"> yang meliputi syariah </w:t>
      </w:r>
      <w:r>
        <w:rPr>
          <w:i/>
          <w:iCs/>
        </w:rPr>
        <w:t>al-kitab</w:t>
      </w:r>
      <w:r>
        <w:t xml:space="preserve"> (tauhid, ibadah dan </w:t>
      </w:r>
      <w:r>
        <w:rPr>
          <w:i/>
          <w:iCs/>
        </w:rPr>
        <w:t>fi’lal khairat)</w:t>
      </w:r>
      <w:r>
        <w:t xml:space="preserve">, syariah </w:t>
      </w:r>
      <w:r>
        <w:rPr>
          <w:i/>
          <w:iCs/>
        </w:rPr>
        <w:t>al-hukm</w:t>
      </w:r>
      <w:r>
        <w:t xml:space="preserve"> (kekuasaan/kepemimpinan), syariah </w:t>
      </w:r>
      <w:r>
        <w:rPr>
          <w:i/>
          <w:iCs/>
        </w:rPr>
        <w:t>an-nubuwwah</w:t>
      </w:r>
      <w:r>
        <w:t xml:space="preserve"> (pembangunan peradaban), syariah </w:t>
      </w:r>
      <w:r>
        <w:rPr>
          <w:i/>
          <w:iCs/>
        </w:rPr>
        <w:t>razaqnahum minath thayyibat</w:t>
      </w:r>
      <w:r>
        <w:t xml:space="preserve"> (kemakmuran) dan </w:t>
      </w:r>
      <w:proofErr w:type="gramStart"/>
      <w:r>
        <w:t xml:space="preserve">syariah  </w:t>
      </w:r>
      <w:r>
        <w:rPr>
          <w:i/>
          <w:iCs/>
        </w:rPr>
        <w:t>fadldlalnahum</w:t>
      </w:r>
      <w:proofErr w:type="gramEnd"/>
      <w:r>
        <w:rPr>
          <w:i/>
          <w:iCs/>
        </w:rPr>
        <w:t xml:space="preserve"> ‘alal ‘alamin</w:t>
      </w:r>
      <w:r>
        <w:t xml:space="preserve"> (keunggulan).</w:t>
      </w:r>
    </w:p>
    <w:p w:rsidR="00571DDB" w:rsidRDefault="00C928D7">
      <w:pPr>
        <w:pStyle w:val="ListParagraph"/>
        <w:numPr>
          <w:ilvl w:val="0"/>
          <w:numId w:val="6"/>
        </w:numPr>
        <w:spacing w:before="240" w:after="120" w:line="276" w:lineRule="auto"/>
        <w:ind w:left="993" w:hanging="284"/>
        <w:jc w:val="both"/>
      </w:pPr>
      <w:r>
        <w:t xml:space="preserve">Kebudayaan otentik: kebudayaan transformatif </w:t>
      </w:r>
      <w:r>
        <w:rPr>
          <w:i/>
          <w:iCs/>
        </w:rPr>
        <w:t>(innallah la yughayyiru ma bi qaumin hatta yughayyiru ma bi anfusihim)</w:t>
      </w:r>
    </w:p>
    <w:p w:rsidR="00571DDB" w:rsidRDefault="00C928D7">
      <w:pPr>
        <w:spacing w:before="240"/>
        <w:ind w:firstLine="709"/>
        <w:rPr>
          <w:b/>
          <w:bCs/>
        </w:rPr>
      </w:pPr>
      <w:r>
        <w:rPr>
          <w:b/>
          <w:bCs/>
          <w:lang w:val="id-ID"/>
        </w:rPr>
        <w:t>4)</w:t>
      </w:r>
      <w:r>
        <w:rPr>
          <w:b/>
          <w:bCs/>
        </w:rPr>
        <w:t>. Pendidikan (an-Nahl, 16: 97)</w:t>
      </w:r>
    </w:p>
    <w:p w:rsidR="00571DDB" w:rsidRDefault="00C928D7">
      <w:pPr>
        <w:pStyle w:val="ListParagraph"/>
        <w:numPr>
          <w:ilvl w:val="0"/>
          <w:numId w:val="11"/>
        </w:numPr>
        <w:spacing w:before="240" w:after="120" w:line="276" w:lineRule="auto"/>
        <w:ind w:left="993" w:hanging="284"/>
        <w:jc w:val="both"/>
      </w:pPr>
      <w:r>
        <w:t xml:space="preserve">Pendidikan mengantarkan peserta didik untuk hidup dengan </w:t>
      </w:r>
      <w:r>
        <w:rPr>
          <w:i/>
          <w:iCs/>
        </w:rPr>
        <w:t>hayah thayyibah.</w:t>
      </w:r>
    </w:p>
    <w:p w:rsidR="00571DDB" w:rsidRDefault="00C928D7">
      <w:pPr>
        <w:pStyle w:val="ListParagraph"/>
        <w:numPr>
          <w:ilvl w:val="0"/>
          <w:numId w:val="11"/>
        </w:numPr>
        <w:spacing w:before="240" w:after="120" w:line="276" w:lineRule="auto"/>
        <w:ind w:left="993" w:hanging="284"/>
        <w:jc w:val="both"/>
      </w:pPr>
      <w:r>
        <w:rPr>
          <w:i/>
          <w:iCs/>
        </w:rPr>
        <w:t>Hayah thayyibah</w:t>
      </w:r>
      <w:r>
        <w:t xml:space="preserve"> dicapai dengan amal saleh dan menjadi mukmin </w:t>
      </w:r>
      <w:r>
        <w:rPr>
          <w:i/>
          <w:iCs/>
        </w:rPr>
        <w:t>(wa huwa mu’minun)</w:t>
      </w:r>
    </w:p>
    <w:p w:rsidR="00571DDB" w:rsidRDefault="00C928D7">
      <w:pPr>
        <w:spacing w:before="240"/>
        <w:ind w:firstLine="709"/>
        <w:rPr>
          <w:b/>
          <w:bCs/>
        </w:rPr>
      </w:pPr>
      <w:r>
        <w:rPr>
          <w:b/>
          <w:bCs/>
          <w:lang w:val="id-ID"/>
        </w:rPr>
        <w:t>5)</w:t>
      </w:r>
      <w:r>
        <w:rPr>
          <w:b/>
          <w:bCs/>
        </w:rPr>
        <w:t>. Hukum</w:t>
      </w:r>
    </w:p>
    <w:p w:rsidR="00571DDB" w:rsidRDefault="00C928D7">
      <w:pPr>
        <w:pStyle w:val="ListParagraph"/>
        <w:numPr>
          <w:ilvl w:val="0"/>
          <w:numId w:val="23"/>
        </w:numPr>
        <w:spacing w:before="240" w:after="120" w:line="276" w:lineRule="auto"/>
        <w:ind w:left="993" w:hanging="284"/>
        <w:jc w:val="both"/>
      </w:pPr>
      <w:r>
        <w:t>Mazhab hukum: hukum yang mencapai tujuan hukum (ketertiban sosial)</w:t>
      </w:r>
    </w:p>
    <w:p w:rsidR="00571DDB" w:rsidRDefault="00C928D7">
      <w:pPr>
        <w:pStyle w:val="ListParagraph"/>
        <w:numPr>
          <w:ilvl w:val="0"/>
          <w:numId w:val="23"/>
        </w:numPr>
        <w:spacing w:before="240" w:after="120" w:line="276" w:lineRule="auto"/>
        <w:ind w:left="993" w:hanging="284"/>
        <w:jc w:val="both"/>
      </w:pPr>
      <w:r>
        <w:t xml:space="preserve">Fungsi hukum: hukum sebagai pranata sosial, kontrol sosial, institusi keadilan dan dan alat rekayasa sosial. </w:t>
      </w:r>
    </w:p>
    <w:p w:rsidR="00571DDB" w:rsidRDefault="00571DDB"/>
    <w:p w:rsidR="00571DDB" w:rsidRDefault="00C928D7">
      <w:pPr>
        <w:ind w:left="851" w:hanging="284"/>
        <w:rPr>
          <w:b/>
          <w:bCs/>
          <w:lang w:val="id-ID"/>
        </w:rPr>
      </w:pPr>
      <w:r>
        <w:rPr>
          <w:b/>
          <w:bCs/>
          <w:lang w:val="id-ID"/>
        </w:rPr>
        <w:t>E. Pedoman Hidup Islami Warga Muhammadiyah: Islam Kaffah Ala Muhammadiyah</w:t>
      </w:r>
    </w:p>
    <w:p w:rsidR="00571DDB" w:rsidRDefault="00C928D7">
      <w:pPr>
        <w:ind w:firstLine="993"/>
        <w:rPr>
          <w:lang w:val="id-ID"/>
        </w:rPr>
      </w:pPr>
      <w:r>
        <w:rPr>
          <w:lang w:val="id-ID"/>
        </w:rPr>
        <w:t>1. Kehidupan pribadi</w:t>
      </w:r>
    </w:p>
    <w:p w:rsidR="00571DDB" w:rsidRDefault="00C928D7">
      <w:pPr>
        <w:ind w:firstLine="993"/>
        <w:rPr>
          <w:lang w:val="id-ID"/>
        </w:rPr>
      </w:pPr>
      <w:r>
        <w:rPr>
          <w:lang w:val="id-ID"/>
        </w:rPr>
        <w:t>2. Kehidupan dalam  keluarga</w:t>
      </w:r>
    </w:p>
    <w:p w:rsidR="00571DDB" w:rsidRDefault="00C928D7">
      <w:pPr>
        <w:ind w:firstLine="993"/>
        <w:rPr>
          <w:lang w:val="id-ID"/>
        </w:rPr>
      </w:pPr>
      <w:r>
        <w:rPr>
          <w:lang w:val="id-ID"/>
        </w:rPr>
        <w:t>3. Kehidupan bermasyarakat</w:t>
      </w:r>
    </w:p>
    <w:p w:rsidR="00571DDB" w:rsidRDefault="00C928D7">
      <w:pPr>
        <w:ind w:firstLine="993"/>
        <w:rPr>
          <w:lang w:val="id-ID"/>
        </w:rPr>
      </w:pPr>
      <w:r>
        <w:rPr>
          <w:lang w:val="id-ID"/>
        </w:rPr>
        <w:t>4. Kehidupan berorganisasi</w:t>
      </w:r>
    </w:p>
    <w:p w:rsidR="00571DDB" w:rsidRDefault="00C928D7">
      <w:pPr>
        <w:ind w:firstLine="993"/>
        <w:rPr>
          <w:lang w:val="id-ID"/>
        </w:rPr>
      </w:pPr>
      <w:r>
        <w:rPr>
          <w:lang w:val="id-ID"/>
        </w:rPr>
        <w:lastRenderedPageBreak/>
        <w:t>5. Kehidupan dalam mengelola amal usaha</w:t>
      </w:r>
    </w:p>
    <w:p w:rsidR="00571DDB" w:rsidRDefault="00C928D7">
      <w:pPr>
        <w:ind w:firstLine="993"/>
        <w:rPr>
          <w:lang w:val="id-ID"/>
        </w:rPr>
      </w:pPr>
      <w:r>
        <w:rPr>
          <w:lang w:val="id-ID"/>
        </w:rPr>
        <w:t>6. Kehidupan dalam berbisnis</w:t>
      </w:r>
    </w:p>
    <w:p w:rsidR="00571DDB" w:rsidRDefault="00C928D7">
      <w:pPr>
        <w:ind w:firstLine="993"/>
        <w:rPr>
          <w:lang w:val="id-ID"/>
        </w:rPr>
      </w:pPr>
      <w:r>
        <w:rPr>
          <w:lang w:val="id-ID"/>
        </w:rPr>
        <w:t>7. Kehidupan dalam mengembangkan profesi</w:t>
      </w:r>
    </w:p>
    <w:p w:rsidR="00571DDB" w:rsidRDefault="00C928D7">
      <w:pPr>
        <w:ind w:firstLine="993"/>
        <w:rPr>
          <w:lang w:val="id-ID"/>
        </w:rPr>
      </w:pPr>
      <w:r>
        <w:rPr>
          <w:lang w:val="id-ID"/>
        </w:rPr>
        <w:t>8. Kehidupan dalam berbangsa dan bernegara</w:t>
      </w:r>
    </w:p>
    <w:p w:rsidR="00571DDB" w:rsidRDefault="00C928D7">
      <w:pPr>
        <w:ind w:firstLine="993"/>
        <w:rPr>
          <w:lang w:val="id-ID"/>
        </w:rPr>
      </w:pPr>
      <w:r>
        <w:rPr>
          <w:lang w:val="id-ID"/>
        </w:rPr>
        <w:t>9. Kehidupan dalam melestarikan lingkungan</w:t>
      </w:r>
    </w:p>
    <w:p w:rsidR="00571DDB" w:rsidRDefault="00C928D7">
      <w:pPr>
        <w:ind w:firstLine="993"/>
        <w:rPr>
          <w:lang w:val="id-ID"/>
        </w:rPr>
      </w:pPr>
      <w:r>
        <w:rPr>
          <w:lang w:val="id-ID"/>
        </w:rPr>
        <w:t>10. Kehidupan dalam mengembangkan ilmu pengetahuan dan teknologi</w:t>
      </w:r>
    </w:p>
    <w:p w:rsidR="00571DDB" w:rsidRDefault="00C928D7">
      <w:pPr>
        <w:ind w:firstLine="993"/>
        <w:rPr>
          <w:lang w:val="id-ID"/>
        </w:rPr>
      </w:pPr>
      <w:r>
        <w:rPr>
          <w:lang w:val="id-ID"/>
        </w:rPr>
        <w:t>11. Kehidupan dalam seni dan budaya.</w:t>
      </w:r>
    </w:p>
    <w:p w:rsidR="00571DDB" w:rsidRDefault="00C928D7">
      <w:pPr>
        <w:ind w:firstLine="567"/>
        <w:rPr>
          <w:b/>
          <w:bCs/>
          <w:lang w:val="id-ID"/>
        </w:rPr>
      </w:pPr>
      <w:r>
        <w:rPr>
          <w:b/>
          <w:bCs/>
          <w:lang w:val="id-ID"/>
        </w:rPr>
        <w:t>F. Dakwah</w:t>
      </w:r>
    </w:p>
    <w:p w:rsidR="00571DDB" w:rsidRDefault="00C928D7">
      <w:pPr>
        <w:ind w:firstLine="851"/>
        <w:rPr>
          <w:lang w:val="id-ID"/>
        </w:rPr>
      </w:pPr>
      <w:r>
        <w:rPr>
          <w:lang w:val="id-ID"/>
        </w:rPr>
        <w:t>1.Dakwah jama’ah</w:t>
      </w:r>
    </w:p>
    <w:p w:rsidR="00571DDB" w:rsidRDefault="00C928D7">
      <w:pPr>
        <w:ind w:firstLine="851"/>
        <w:rPr>
          <w:lang w:val="id-ID"/>
        </w:rPr>
      </w:pPr>
      <w:r>
        <w:rPr>
          <w:lang w:val="id-ID"/>
        </w:rPr>
        <w:t>2. Dakwah kultural</w:t>
      </w:r>
    </w:p>
    <w:p w:rsidR="00571DDB" w:rsidRDefault="00C928D7">
      <w:pPr>
        <w:ind w:firstLine="851"/>
        <w:rPr>
          <w:lang w:val="id-ID"/>
        </w:rPr>
      </w:pPr>
      <w:r>
        <w:rPr>
          <w:lang w:val="id-ID"/>
        </w:rPr>
        <w:t>3. Dakwah komunitas</w:t>
      </w:r>
    </w:p>
    <w:p w:rsidR="00571DDB" w:rsidRDefault="00C928D7">
      <w:pPr>
        <w:ind w:firstLine="851"/>
        <w:rPr>
          <w:lang w:val="id-ID"/>
        </w:rPr>
      </w:pPr>
      <w:r>
        <w:rPr>
          <w:lang w:val="id-ID"/>
        </w:rPr>
        <w:t>4. Advokasi</w:t>
      </w:r>
    </w:p>
    <w:p w:rsidR="00571DDB" w:rsidRDefault="00C928D7">
      <w:pPr>
        <w:ind w:firstLine="851"/>
        <w:rPr>
          <w:lang w:val="id-ID"/>
        </w:rPr>
      </w:pPr>
      <w:r>
        <w:rPr>
          <w:lang w:val="id-ID"/>
        </w:rPr>
        <w:t>5. Dialog</w:t>
      </w:r>
    </w:p>
    <w:p w:rsidR="00571DDB" w:rsidRDefault="00571DDB">
      <w:pPr>
        <w:rPr>
          <w:lang w:val="id-ID"/>
        </w:rPr>
      </w:pPr>
    </w:p>
    <w:p w:rsidR="00571DDB" w:rsidRDefault="00C928D7">
      <w:pPr>
        <w:rPr>
          <w:b/>
          <w:bCs/>
          <w:lang w:val="id-ID"/>
        </w:rPr>
      </w:pPr>
      <w:r>
        <w:rPr>
          <w:b/>
          <w:bCs/>
          <w:lang w:val="id-ID"/>
        </w:rPr>
        <w:t>III. Produk-Produk Tarjih</w:t>
      </w:r>
    </w:p>
    <w:p w:rsidR="00571DDB" w:rsidRDefault="00C928D7">
      <w:pPr>
        <w:ind w:firstLine="567"/>
        <w:rPr>
          <w:b/>
          <w:bCs/>
          <w:lang w:val="id-ID"/>
        </w:rPr>
      </w:pPr>
      <w:r>
        <w:rPr>
          <w:b/>
          <w:bCs/>
          <w:lang w:val="id-ID"/>
        </w:rPr>
        <w:t>A.  Putusan Tarjih (Hasil Munas Tarjih/HPT)</w:t>
      </w:r>
    </w:p>
    <w:p w:rsidR="00571DDB" w:rsidRDefault="00C928D7">
      <w:pPr>
        <w:ind w:firstLine="851"/>
        <w:rPr>
          <w:lang w:val="id-ID"/>
        </w:rPr>
      </w:pPr>
      <w:r>
        <w:rPr>
          <w:lang w:val="id-ID"/>
        </w:rPr>
        <w:t>1. Akidah</w:t>
      </w:r>
    </w:p>
    <w:p w:rsidR="00571DDB" w:rsidRDefault="00C928D7">
      <w:pPr>
        <w:ind w:firstLine="851"/>
        <w:rPr>
          <w:lang w:val="id-ID"/>
        </w:rPr>
      </w:pPr>
      <w:r>
        <w:rPr>
          <w:lang w:val="id-ID"/>
        </w:rPr>
        <w:t>2. Ibadah (thaharah, shalat,  puasa dan haji)</w:t>
      </w:r>
    </w:p>
    <w:p w:rsidR="00571DDB" w:rsidRDefault="00C928D7">
      <w:pPr>
        <w:ind w:firstLine="851"/>
        <w:rPr>
          <w:lang w:val="id-ID"/>
        </w:rPr>
      </w:pPr>
      <w:r>
        <w:rPr>
          <w:lang w:val="id-ID"/>
        </w:rPr>
        <w:t>3. Lembaga ekonomi (zakat,  wakaf dan bank)</w:t>
      </w:r>
    </w:p>
    <w:p w:rsidR="00571DDB" w:rsidRDefault="00C928D7">
      <w:pPr>
        <w:ind w:firstLine="851"/>
        <w:rPr>
          <w:lang w:val="id-ID"/>
        </w:rPr>
      </w:pPr>
      <w:r>
        <w:rPr>
          <w:lang w:val="id-ID"/>
        </w:rPr>
        <w:t>4. Pendidikan</w:t>
      </w:r>
    </w:p>
    <w:p w:rsidR="00571DDB" w:rsidRDefault="00C928D7">
      <w:pPr>
        <w:ind w:firstLine="851"/>
        <w:rPr>
          <w:lang w:val="id-ID"/>
        </w:rPr>
      </w:pPr>
      <w:r>
        <w:rPr>
          <w:lang w:val="id-ID"/>
        </w:rPr>
        <w:t>5. Perkawinan dan Keluarga (keluarga sakinah dan KB)</w:t>
      </w:r>
    </w:p>
    <w:p w:rsidR="00571DDB" w:rsidRDefault="00C928D7">
      <w:pPr>
        <w:ind w:firstLine="851"/>
        <w:rPr>
          <w:lang w:val="id-ID"/>
        </w:rPr>
      </w:pPr>
      <w:r>
        <w:rPr>
          <w:lang w:val="id-ID"/>
        </w:rPr>
        <w:t>6. Reproduksi (bayi tabung)</w:t>
      </w:r>
    </w:p>
    <w:p w:rsidR="00571DDB" w:rsidRDefault="00C928D7">
      <w:pPr>
        <w:ind w:firstLine="851"/>
        <w:rPr>
          <w:lang w:val="id-ID"/>
        </w:rPr>
      </w:pPr>
      <w:r>
        <w:rPr>
          <w:lang w:val="id-ID"/>
        </w:rPr>
        <w:t>7. Seni dan budaya</w:t>
      </w:r>
    </w:p>
    <w:p w:rsidR="00571DDB" w:rsidRDefault="00C928D7">
      <w:pPr>
        <w:ind w:firstLine="851"/>
        <w:rPr>
          <w:lang w:val="id-ID"/>
        </w:rPr>
      </w:pPr>
      <w:r>
        <w:rPr>
          <w:lang w:val="id-ID"/>
        </w:rPr>
        <w:t>8. Kebencanaan (Fikih Bencana)</w:t>
      </w:r>
    </w:p>
    <w:p w:rsidR="00571DDB" w:rsidRDefault="00C928D7">
      <w:pPr>
        <w:ind w:firstLine="851"/>
        <w:rPr>
          <w:lang w:val="id-ID"/>
        </w:rPr>
      </w:pPr>
      <w:r>
        <w:rPr>
          <w:lang w:val="id-ID"/>
        </w:rPr>
        <w:t>9. Keairan (Fikih Air)</w:t>
      </w:r>
    </w:p>
    <w:p w:rsidR="00571DDB" w:rsidRDefault="00C928D7">
      <w:pPr>
        <w:ind w:firstLine="851"/>
        <w:rPr>
          <w:lang w:val="id-ID"/>
        </w:rPr>
      </w:pPr>
      <w:r>
        <w:rPr>
          <w:lang w:val="id-ID"/>
        </w:rPr>
        <w:t>10. Pengelolalaan lembaga-lembaga publik (Fikih Tata Kelola)</w:t>
      </w:r>
    </w:p>
    <w:p w:rsidR="00571DDB" w:rsidRDefault="00C928D7">
      <w:pPr>
        <w:ind w:firstLine="851"/>
        <w:rPr>
          <w:lang w:val="id-ID"/>
        </w:rPr>
      </w:pPr>
      <w:r>
        <w:rPr>
          <w:lang w:val="id-ID"/>
        </w:rPr>
        <w:t>11. Pelayanan (Fikih Al-Ma’un)</w:t>
      </w:r>
    </w:p>
    <w:p w:rsidR="00571DDB" w:rsidRDefault="00C928D7">
      <w:pPr>
        <w:ind w:firstLine="851"/>
        <w:rPr>
          <w:lang w:val="id-ID"/>
        </w:rPr>
      </w:pPr>
      <w:r>
        <w:rPr>
          <w:lang w:val="id-ID"/>
        </w:rPr>
        <w:t>12. Ketenagakerjaan</w:t>
      </w:r>
    </w:p>
    <w:p w:rsidR="00571DDB" w:rsidRDefault="00C928D7">
      <w:pPr>
        <w:ind w:firstLine="851"/>
        <w:rPr>
          <w:lang w:val="id-ID"/>
        </w:rPr>
      </w:pPr>
      <w:r>
        <w:rPr>
          <w:lang w:val="id-ID"/>
        </w:rPr>
        <w:t>13. Judi</w:t>
      </w:r>
    </w:p>
    <w:p w:rsidR="00571DDB" w:rsidRDefault="00C928D7">
      <w:pPr>
        <w:ind w:firstLine="851"/>
        <w:rPr>
          <w:lang w:val="id-ID"/>
        </w:rPr>
      </w:pPr>
      <w:r>
        <w:rPr>
          <w:lang w:val="id-ID"/>
        </w:rPr>
        <w:t>14. Kematian (Fikih Kematian)</w:t>
      </w:r>
    </w:p>
    <w:p w:rsidR="00571DDB" w:rsidRDefault="00C928D7">
      <w:pPr>
        <w:ind w:firstLine="851"/>
        <w:rPr>
          <w:i/>
          <w:iCs/>
          <w:lang w:val="id-ID"/>
        </w:rPr>
      </w:pPr>
      <w:r>
        <w:rPr>
          <w:lang w:val="id-ID"/>
        </w:rPr>
        <w:t xml:space="preserve">15. Epistemologi </w:t>
      </w:r>
      <w:r>
        <w:rPr>
          <w:i/>
          <w:iCs/>
          <w:lang w:val="id-ID"/>
        </w:rPr>
        <w:t>(bayani, burhani</w:t>
      </w:r>
      <w:r>
        <w:rPr>
          <w:lang w:val="id-ID"/>
        </w:rPr>
        <w:t xml:space="preserve"> dan </w:t>
      </w:r>
      <w:r>
        <w:rPr>
          <w:i/>
          <w:iCs/>
          <w:lang w:val="id-ID"/>
        </w:rPr>
        <w:t>“irfani”)</w:t>
      </w:r>
    </w:p>
    <w:p w:rsidR="00571DDB" w:rsidRDefault="00C928D7">
      <w:pPr>
        <w:ind w:firstLine="567"/>
        <w:rPr>
          <w:b/>
          <w:bCs/>
          <w:lang w:val="id-ID"/>
        </w:rPr>
      </w:pPr>
      <w:r>
        <w:rPr>
          <w:b/>
          <w:bCs/>
          <w:lang w:val="id-ID"/>
        </w:rPr>
        <w:t>B. Fatwa-fatwa Tarjih</w:t>
      </w:r>
    </w:p>
    <w:p w:rsidR="00571DDB" w:rsidRDefault="00C928D7">
      <w:pPr>
        <w:ind w:firstLine="851"/>
        <w:rPr>
          <w:lang w:val="id-ID"/>
        </w:rPr>
      </w:pPr>
      <w:r>
        <w:rPr>
          <w:lang w:val="id-ID"/>
        </w:rPr>
        <w:t>1. Rokok</w:t>
      </w:r>
    </w:p>
    <w:p w:rsidR="00571DDB" w:rsidRDefault="00C928D7">
      <w:pPr>
        <w:ind w:firstLine="851"/>
        <w:rPr>
          <w:lang w:val="id-ID"/>
        </w:rPr>
      </w:pPr>
      <w:r>
        <w:rPr>
          <w:lang w:val="id-ID"/>
        </w:rPr>
        <w:t>2. Bunga bank</w:t>
      </w:r>
    </w:p>
    <w:p w:rsidR="00571DDB" w:rsidRDefault="00C928D7">
      <w:pPr>
        <w:ind w:firstLine="851"/>
        <w:rPr>
          <w:lang w:val="id-ID"/>
        </w:rPr>
      </w:pPr>
      <w:r>
        <w:rPr>
          <w:lang w:val="id-ID"/>
        </w:rPr>
        <w:t xml:space="preserve">3. Kepemimpinan perempuan  </w:t>
      </w:r>
    </w:p>
    <w:p w:rsidR="00571DDB" w:rsidRDefault="00C928D7">
      <w:pPr>
        <w:spacing w:line="360" w:lineRule="auto"/>
        <w:ind w:firstLine="851"/>
        <w:jc w:val="both"/>
        <w:rPr>
          <w:color w:val="000000"/>
          <w:lang w:val="id-ID"/>
        </w:rPr>
      </w:pPr>
      <w:r>
        <w:rPr>
          <w:color w:val="000000"/>
          <w:lang w:val="id-ID"/>
        </w:rPr>
        <w:t>4. Kurban untuk korban bencana</w:t>
      </w:r>
    </w:p>
    <w:p w:rsidR="00571DDB" w:rsidRDefault="00C928D7">
      <w:pPr>
        <w:ind w:firstLine="567"/>
        <w:jc w:val="both"/>
        <w:rPr>
          <w:b/>
          <w:bCs/>
          <w:color w:val="000000"/>
          <w:lang w:val="id-ID"/>
        </w:rPr>
      </w:pPr>
      <w:r>
        <w:rPr>
          <w:b/>
          <w:bCs/>
          <w:color w:val="000000"/>
          <w:lang w:val="id-ID"/>
        </w:rPr>
        <w:t>C. Wacana-wacana Ketarjihan</w:t>
      </w:r>
    </w:p>
    <w:p w:rsidR="00571DDB" w:rsidRDefault="00C928D7">
      <w:pPr>
        <w:ind w:firstLine="851"/>
        <w:jc w:val="both"/>
        <w:rPr>
          <w:color w:val="000000"/>
          <w:lang w:val="id-ID"/>
        </w:rPr>
      </w:pPr>
      <w:r>
        <w:rPr>
          <w:color w:val="000000"/>
          <w:lang w:val="id-ID"/>
        </w:rPr>
        <w:t>1. Teologi industrialisasi</w:t>
      </w:r>
    </w:p>
    <w:p w:rsidR="00571DDB" w:rsidRDefault="00C928D7">
      <w:pPr>
        <w:ind w:firstLine="851"/>
        <w:jc w:val="both"/>
        <w:rPr>
          <w:color w:val="000000"/>
          <w:lang w:val="id-ID"/>
        </w:rPr>
      </w:pPr>
      <w:r>
        <w:rPr>
          <w:color w:val="000000"/>
          <w:lang w:val="id-ID"/>
        </w:rPr>
        <w:t>2. Hubungan antaragama</w:t>
      </w:r>
    </w:p>
    <w:p w:rsidR="00571DDB" w:rsidRDefault="00571DDB">
      <w:pPr>
        <w:spacing w:line="360" w:lineRule="auto"/>
        <w:jc w:val="both"/>
        <w:rPr>
          <w:b/>
          <w:bCs/>
          <w:color w:val="000000"/>
          <w:lang w:val="id-ID"/>
        </w:rPr>
      </w:pPr>
    </w:p>
    <w:p w:rsidR="00571DDB" w:rsidRDefault="00571DDB">
      <w:pPr>
        <w:rPr>
          <w:lang w:val="id-ID"/>
        </w:rPr>
      </w:pPr>
    </w:p>
    <w:p w:rsidR="00571DDB" w:rsidRDefault="00571DDB">
      <w:pPr>
        <w:rPr>
          <w:lang w:val="id-ID"/>
        </w:rPr>
      </w:pPr>
    </w:p>
    <w:p w:rsidR="00571DDB" w:rsidRDefault="00571DDB">
      <w:pPr>
        <w:rPr>
          <w:lang w:val="id-ID"/>
        </w:rPr>
      </w:pPr>
      <w:bookmarkStart w:id="0" w:name="_GoBack"/>
      <w:bookmarkEnd w:id="0"/>
    </w:p>
    <w:p w:rsidR="00571DDB" w:rsidRDefault="00C928D7">
      <w:pPr>
        <w:spacing w:line="360" w:lineRule="auto"/>
        <w:jc w:val="both"/>
        <w:rPr>
          <w:b/>
          <w:bCs/>
          <w:lang w:val="id-ID"/>
        </w:rPr>
      </w:pPr>
      <w:r>
        <w:rPr>
          <w:b/>
          <w:bCs/>
          <w:lang w:val="id-ID"/>
        </w:rPr>
        <w:lastRenderedPageBreak/>
        <w:t xml:space="preserve">Lampiran: Akidah Tauhid dalam Islam </w:t>
      </w:r>
    </w:p>
    <w:p w:rsidR="00571DDB" w:rsidRDefault="00C928D7">
      <w:pPr>
        <w:spacing w:line="360" w:lineRule="auto"/>
        <w:ind w:firstLine="720"/>
        <w:jc w:val="both"/>
        <w:rPr>
          <w:lang w:val="id-ID"/>
        </w:rPr>
      </w:pPr>
      <w:r>
        <w:rPr>
          <w:lang w:val="id-ID"/>
        </w:rPr>
        <w:t xml:space="preserve">Akidah dalam Islam dikenal dengan akidah tauhid, akidah yang berpusat pada keesaan Allah. Akidah yang berkembang dalam pemikiran yang dikemukakan oleh tokoh-tokoh Muslim dapat dibagi menjadi: sistem kepercayaan spiritual, sistem puritan, sistem kepercayaan ideologis, sistem kepercayaan semi etis dan sistem kepercayaan etis. </w:t>
      </w:r>
    </w:p>
    <w:p w:rsidR="00571DDB" w:rsidRDefault="00C928D7">
      <w:pPr>
        <w:spacing w:line="360" w:lineRule="auto"/>
        <w:ind w:firstLine="720"/>
        <w:jc w:val="both"/>
        <w:rPr>
          <w:lang w:val="id-ID"/>
        </w:rPr>
      </w:pPr>
      <w:r>
        <w:rPr>
          <w:lang w:val="id-ID"/>
        </w:rPr>
        <w:t xml:space="preserve">Akidah sebagai sistem kepercayaan  spiritual menetapkan ajaran-ajaran tentang apa yang wajib dipercayai dan wajib dilakukan oleh Muslim berdasarkan keimanannya untuk mewujudkan ketinggian rohani dengan segala kekayaan spiritualnya dalam berhubungan dengan Allah. Akidah ini berkembang dalam  Mazhab Ahlussunnah wal Jama’ah aliran Asy’ariyah (pengikut Abu Hasan al-Asy’ari), yang berdasarkan beberapa literatur yang populer di Indonesia, dapat dipahami telah merumuskan lima ajaran dasar </w:t>
      </w:r>
      <w:r>
        <w:rPr>
          <w:i/>
          <w:iCs/>
          <w:lang w:val="id-ID"/>
        </w:rPr>
        <w:t xml:space="preserve">(al-ushul al-khamsah) </w:t>
      </w:r>
      <w:r>
        <w:rPr>
          <w:lang w:val="id-ID"/>
        </w:rPr>
        <w:t>akidah Islam:</w:t>
      </w:r>
    </w:p>
    <w:p w:rsidR="00571DDB" w:rsidRDefault="00C928D7">
      <w:pPr>
        <w:pStyle w:val="ListParagraph"/>
        <w:numPr>
          <w:ilvl w:val="0"/>
          <w:numId w:val="12"/>
        </w:numPr>
        <w:spacing w:line="360" w:lineRule="auto"/>
        <w:jc w:val="both"/>
      </w:pPr>
      <w:r>
        <w:rPr>
          <w:i/>
          <w:iCs/>
          <w:lang w:val="id-ID"/>
        </w:rPr>
        <w:t>al-ilahiyat,</w:t>
      </w:r>
      <w:r>
        <w:rPr>
          <w:lang w:val="id-ID"/>
        </w:rPr>
        <w:t xml:space="preserve"> kepercayaan-kepercayaan yang berkaitan dengan ketuhananAllah;</w:t>
      </w:r>
    </w:p>
    <w:p w:rsidR="00571DDB" w:rsidRDefault="00C928D7">
      <w:pPr>
        <w:pStyle w:val="ListParagraph"/>
        <w:numPr>
          <w:ilvl w:val="0"/>
          <w:numId w:val="12"/>
        </w:numPr>
        <w:spacing w:line="360" w:lineRule="auto"/>
        <w:jc w:val="both"/>
      </w:pPr>
      <w:r>
        <w:rPr>
          <w:i/>
          <w:iCs/>
          <w:lang w:val="id-ID"/>
        </w:rPr>
        <w:t>an-nubuwwat,</w:t>
      </w:r>
      <w:r>
        <w:rPr>
          <w:lang w:val="id-ID"/>
        </w:rPr>
        <w:t xml:space="preserve"> kepercayaan-kepercayaan yang berhubungan dengan kenabian para rasul utusan Allah;</w:t>
      </w:r>
    </w:p>
    <w:p w:rsidR="00571DDB" w:rsidRDefault="00C928D7">
      <w:pPr>
        <w:pStyle w:val="ListParagraph"/>
        <w:numPr>
          <w:ilvl w:val="0"/>
          <w:numId w:val="12"/>
        </w:numPr>
        <w:spacing w:line="360" w:lineRule="auto"/>
        <w:jc w:val="both"/>
      </w:pPr>
      <w:r>
        <w:rPr>
          <w:i/>
          <w:iCs/>
          <w:lang w:val="id-ID"/>
        </w:rPr>
        <w:t>as-sam’iyyat,</w:t>
      </w:r>
      <w:r>
        <w:rPr>
          <w:lang w:val="id-ID"/>
        </w:rPr>
        <w:t xml:space="preserve"> kepercayaan-kepercayaan  yang bersumber pada al-Qur’an dan hadis selain yang berkaitan dengan ketuhanan dan kenabian, di antaranya  kepercayaan tentang telaga </w:t>
      </w:r>
      <w:r>
        <w:rPr>
          <w:i/>
          <w:iCs/>
          <w:lang w:val="id-ID"/>
        </w:rPr>
        <w:t>(khaudl)</w:t>
      </w:r>
      <w:r>
        <w:rPr>
          <w:lang w:val="id-ID"/>
        </w:rPr>
        <w:t xml:space="preserve"> yang dimiliki dan pertolongan pembebasan dari neraka </w:t>
      </w:r>
      <w:r>
        <w:rPr>
          <w:i/>
          <w:iCs/>
          <w:lang w:val="id-ID"/>
        </w:rPr>
        <w:t xml:space="preserve">(asy-syafa’ah al-kubra) </w:t>
      </w:r>
      <w:r>
        <w:rPr>
          <w:lang w:val="id-ID"/>
        </w:rPr>
        <w:t>yang diberikan Nabi  di akhirat;</w:t>
      </w:r>
    </w:p>
    <w:p w:rsidR="00571DDB" w:rsidRDefault="00C928D7">
      <w:pPr>
        <w:pStyle w:val="ListParagraph"/>
        <w:numPr>
          <w:ilvl w:val="0"/>
          <w:numId w:val="12"/>
        </w:numPr>
        <w:spacing w:line="360" w:lineRule="auto"/>
        <w:jc w:val="both"/>
      </w:pPr>
      <w:r>
        <w:rPr>
          <w:lang w:val="id-ID"/>
        </w:rPr>
        <w:t>iman yang dengan pengertian pembicaraan hati yang mengikuti apa yang menjadi kemantapannya, dibagi menjadi empat: tidak bertambah dan tidak berkurang (imannya para malaikat),  bertambah dan tidak berkurang (iman para nabi), bertambah dan berkurang (iman orang beriman),  tidak bertambah dan berkurang (iman orang fasik);</w:t>
      </w:r>
    </w:p>
    <w:p w:rsidR="00571DDB" w:rsidRDefault="00C928D7">
      <w:pPr>
        <w:pStyle w:val="ListParagraph"/>
        <w:numPr>
          <w:ilvl w:val="0"/>
          <w:numId w:val="12"/>
        </w:numPr>
        <w:spacing w:line="360" w:lineRule="auto"/>
        <w:jc w:val="both"/>
      </w:pPr>
      <w:r>
        <w:rPr>
          <w:lang w:val="id-ID"/>
        </w:rPr>
        <w:lastRenderedPageBreak/>
        <w:t xml:space="preserve">kalimat tauhid: hukum membaca </w:t>
      </w:r>
      <w:r>
        <w:rPr>
          <w:i/>
          <w:iCs/>
          <w:lang w:val="id-ID"/>
        </w:rPr>
        <w:t>la ilaha illa Allah,</w:t>
      </w:r>
      <w:r>
        <w:rPr>
          <w:lang w:val="id-ID"/>
        </w:rPr>
        <w:t xml:space="preserve"> keutamaannya, cara berzikir dengannya dan manfaat-manfaat yang diperoleh oleh yang orang yang berzikir dengan membacanya (akhlak dan karamah).</w:t>
      </w:r>
      <w:r>
        <w:rPr>
          <w:rStyle w:val="FootnoteReference"/>
          <w:lang w:val="id-ID"/>
        </w:rPr>
        <w:footnoteReference w:id="1"/>
      </w:r>
      <w:r>
        <w:rPr>
          <w:lang w:val="id-ID"/>
        </w:rPr>
        <w:t xml:space="preserve"> </w:t>
      </w:r>
    </w:p>
    <w:p w:rsidR="00571DDB" w:rsidRDefault="00C928D7">
      <w:pPr>
        <w:spacing w:line="360" w:lineRule="auto"/>
        <w:ind w:firstLine="720"/>
        <w:jc w:val="both"/>
        <w:rPr>
          <w:lang w:val="id-ID"/>
        </w:rPr>
      </w:pPr>
      <w:r>
        <w:rPr>
          <w:lang w:val="id-ID"/>
        </w:rPr>
        <w:t xml:space="preserve">Dalam ajaran ketuhanan </w:t>
      </w:r>
      <w:r>
        <w:rPr>
          <w:i/>
          <w:iCs/>
          <w:lang w:val="id-ID"/>
        </w:rPr>
        <w:t>(ilahiyat)</w:t>
      </w:r>
      <w:r>
        <w:rPr>
          <w:lang w:val="id-ID"/>
        </w:rPr>
        <w:t xml:space="preserve"> aliran Asy’ariyah, sebagai reaksi terhadap Mu’tazilah,  tegas menyatakan bahwa Allah mempunyai sifat  karena Dia Sendiri menyatakan demikian. </w:t>
      </w:r>
      <w:r>
        <w:t>Dia   menyatakan bahwa Dia hidup, berkehendak</w:t>
      </w:r>
      <w:proofErr w:type="gramStart"/>
      <w:r>
        <w:t>,  berkuasa</w:t>
      </w:r>
      <w:proofErr w:type="gramEnd"/>
      <w:r>
        <w:t xml:space="preserve"> dan lain-lain yang menunjukkan bahwa Dia memiliki sifat pada dzat-Nya </w:t>
      </w:r>
      <w:r>
        <w:rPr>
          <w:i/>
          <w:iCs/>
        </w:rPr>
        <w:t>(sifah dzatiyah).</w:t>
      </w:r>
      <w:r>
        <w:t xml:space="preserve"> Di samping itu Dia juga menyatakan </w:t>
      </w:r>
      <w:proofErr w:type="gramStart"/>
      <w:r>
        <w:t>bahwa  Dia</w:t>
      </w:r>
      <w:proofErr w:type="gramEnd"/>
      <w:r>
        <w:t xml:space="preserve"> mengetahui, mendengar berbicara dan lain-lain yang menunjukkan bahwa Dia melakukan pekerjaan-pekerjaan tertentu </w:t>
      </w:r>
      <w:r>
        <w:rPr>
          <w:i/>
          <w:iCs/>
        </w:rPr>
        <w:t>(sifah fi’liyah).</w:t>
      </w:r>
      <w:r>
        <w:t xml:space="preserve"> Sifat-sifat itu tidak </w:t>
      </w:r>
      <w:proofErr w:type="gramStart"/>
      <w:r>
        <w:t>sama</w:t>
      </w:r>
      <w:proofErr w:type="gramEnd"/>
      <w:r>
        <w:t xml:space="preserve"> dengan, bahkan lain</w:t>
      </w:r>
      <w:r>
        <w:rPr>
          <w:lang w:val="id-ID"/>
        </w:rPr>
        <w:t>,</w:t>
      </w:r>
      <w:r>
        <w:t xml:space="preserve"> dari Dzat Tuhan, tetapi berwujud dalam Dzat-Nya itu sendiri.</w:t>
      </w:r>
      <w:r>
        <w:rPr>
          <w:rStyle w:val="FootnoteReference"/>
        </w:rPr>
        <w:footnoteReference w:id="2"/>
      </w:r>
    </w:p>
    <w:p w:rsidR="00571DDB" w:rsidRDefault="00C928D7">
      <w:pPr>
        <w:spacing w:line="360" w:lineRule="auto"/>
        <w:ind w:firstLine="720"/>
        <w:jc w:val="both"/>
        <w:rPr>
          <w:lang w:val="id-ID"/>
        </w:rPr>
      </w:pPr>
      <w:r>
        <w:rPr>
          <w:lang w:val="id-ID"/>
        </w:rPr>
        <w:t xml:space="preserve">Kemudian akidah sebagai sistem kepercayaan puritan menetapkan ajaran-ajaran tentang apa yang wajib dipercayai dan wajib dilakukan oleh Muslim berdasarkan keimanannya untuk mewujudkan kesalehan ibadah kepada Allah secara murni tanpa bercampur dengan sistem kepercayaan dan sistem peribadatan di luar Islam. Akidah ini berkembang dalam mazhab Ahlussunnah wal Jama’ah aliran Hanabilah yang di antaranya diwakili oleh Muhammad bin Abdul Wahab yang  merumuskan akidah tauhid  meliputi tiga ajaran dasar </w:t>
      </w:r>
      <w:r>
        <w:rPr>
          <w:i/>
          <w:iCs/>
          <w:lang w:val="id-ID"/>
        </w:rPr>
        <w:t>(al-ushul ats-tsalatsah)</w:t>
      </w:r>
      <w:r>
        <w:rPr>
          <w:lang w:val="id-ID"/>
        </w:rPr>
        <w:t xml:space="preserve">: </w:t>
      </w:r>
    </w:p>
    <w:p w:rsidR="00571DDB" w:rsidRDefault="00C928D7">
      <w:pPr>
        <w:pStyle w:val="ListParagraph"/>
        <w:numPr>
          <w:ilvl w:val="0"/>
          <w:numId w:val="5"/>
        </w:numPr>
        <w:spacing w:line="360" w:lineRule="auto"/>
        <w:jc w:val="both"/>
        <w:rPr>
          <w:lang w:val="id-ID"/>
        </w:rPr>
      </w:pPr>
      <w:r>
        <w:rPr>
          <w:i/>
          <w:iCs/>
          <w:lang w:val="id-ID"/>
        </w:rPr>
        <w:t>ma’rifatul ‘abd rabbahu,</w:t>
      </w:r>
      <w:r>
        <w:rPr>
          <w:lang w:val="id-ID"/>
        </w:rPr>
        <w:t xml:space="preserve"> hamba mengenal Tuhannya. Berdasarkan ayat-ayat al-Qur’an, tentang ajaran dasar  ini ditegaskan bahwa  mengenal Allah itu dengan mengenal siapa Dia (Dia adalah Yang Mengasuh dirinya dan seluruh alam dengan anugerah-anugerah-Nya dan bahwa Dia adalah satu-satunya Sesembahan yang berhak disembah). Juga mengetahui cara mengenal-Nya melalui tanda-tanda wujud-Nya (malam dan siang, </w:t>
      </w:r>
      <w:r>
        <w:rPr>
          <w:lang w:val="id-ID"/>
        </w:rPr>
        <w:lastRenderedPageBreak/>
        <w:t xml:space="preserve">matahari dan bulan) dan melalui makhluk ciptaan-Nya (tujuh langit, tujuh bumi, isi keduanya dan apa yang ada di antara keduanya). </w:t>
      </w:r>
    </w:p>
    <w:p w:rsidR="00571DDB" w:rsidRDefault="00C928D7">
      <w:pPr>
        <w:pStyle w:val="ListParagraph"/>
        <w:numPr>
          <w:ilvl w:val="0"/>
          <w:numId w:val="5"/>
        </w:numPr>
        <w:spacing w:line="360" w:lineRule="auto"/>
        <w:jc w:val="both"/>
        <w:rPr>
          <w:lang w:val="id-ID"/>
        </w:rPr>
      </w:pPr>
      <w:r>
        <w:rPr>
          <w:i/>
          <w:iCs/>
          <w:lang w:val="id-ID"/>
        </w:rPr>
        <w:t>ma’rifat din al Islam,</w:t>
      </w:r>
      <w:r>
        <w:rPr>
          <w:lang w:val="id-ID"/>
        </w:rPr>
        <w:t xml:space="preserve"> mengenal agama Islam. Dijelaskan bahwa Islam adalah penyerahan diri kepada Allah dengan tauhid, tunduk kepada-Nya dengan taat dan bebas dari kemusyrikan dan para penganutnya (kemusyrikan). Islam dalam pengertian itu terdiri atas 3 tingkatan, masing-masing dengan rukun-rukunnya: islam dengan 5 rukun, iman dengan 6 rukun (dan 73 lebih cabangnya) dan ihsan dengan 1 rukun. </w:t>
      </w:r>
    </w:p>
    <w:p w:rsidR="00571DDB" w:rsidRDefault="00C928D7">
      <w:pPr>
        <w:pStyle w:val="ListParagraph"/>
        <w:numPr>
          <w:ilvl w:val="0"/>
          <w:numId w:val="5"/>
        </w:numPr>
        <w:spacing w:line="360" w:lineRule="auto"/>
        <w:jc w:val="both"/>
        <w:rPr>
          <w:lang w:val="id-ID"/>
        </w:rPr>
      </w:pPr>
      <w:r>
        <w:rPr>
          <w:i/>
          <w:iCs/>
          <w:lang w:val="id-ID"/>
        </w:rPr>
        <w:t>ma’rifat an-Nabiyy Muhammad,</w:t>
      </w:r>
      <w:r>
        <w:rPr>
          <w:lang w:val="id-ID"/>
        </w:rPr>
        <w:t xml:space="preserve">  mengenal Nabi Muhammad SAW. Dijelaskan mengenal Nabi meliputi  pengenalan terhadap namanya, usianya, pengangkatannya sebagai nabi dengan wahyu </w:t>
      </w:r>
      <w:r>
        <w:rPr>
          <w:i/>
          <w:iCs/>
          <w:lang w:val="id-ID"/>
        </w:rPr>
        <w:t>iqra’,</w:t>
      </w:r>
      <w:r>
        <w:rPr>
          <w:lang w:val="id-ID"/>
        </w:rPr>
        <w:t xml:space="preserve"> pengangkatannya sebagai rasul dengan </w:t>
      </w:r>
      <w:r>
        <w:rPr>
          <w:i/>
          <w:iCs/>
          <w:lang w:val="id-ID"/>
        </w:rPr>
        <w:t>al-muddatsir,</w:t>
      </w:r>
      <w:r>
        <w:rPr>
          <w:lang w:val="id-ID"/>
        </w:rPr>
        <w:t xml:space="preserve"> negerinya Mekah dan hijrah ke Madinah. Selanjutnya dijelaskan bahwa dia diutus untuk memberi peringatan atas kemusyrikan dan menyeru kepada tauhid.  menjalani </w:t>
      </w:r>
      <w:r>
        <w:rPr>
          <w:i/>
          <w:iCs/>
          <w:lang w:val="id-ID"/>
        </w:rPr>
        <w:t>isra’ mi’raj,</w:t>
      </w:r>
      <w:r>
        <w:rPr>
          <w:lang w:val="id-ID"/>
        </w:rPr>
        <w:t xml:space="preserve"> melaksanakan hijrah dari negeri kemusyrikan ke negeri Islam, menegakkan syari’at Islam, dia diutus untuk seluruh umat manusia, agama yang didakwahkannya merupakan agama sempurna dan seterusnya.</w:t>
      </w:r>
      <w:r>
        <w:rPr>
          <w:rStyle w:val="FootnoteReference"/>
          <w:lang w:val="id-ID"/>
        </w:rPr>
        <w:footnoteReference w:id="3"/>
      </w:r>
    </w:p>
    <w:p w:rsidR="00571DDB" w:rsidRDefault="00C928D7">
      <w:pPr>
        <w:spacing w:line="360" w:lineRule="auto"/>
        <w:ind w:firstLine="720"/>
        <w:jc w:val="both"/>
        <w:rPr>
          <w:color w:val="000000"/>
          <w:lang w:val="id-ID"/>
        </w:rPr>
      </w:pPr>
      <w:r>
        <w:rPr>
          <w:lang w:val="id-ID"/>
        </w:rPr>
        <w:t>Kemudian akidah sebagai sistem ideologi menetapkan ajaran-ajaran yang menjadi sistem pemikiran tentang bagaimana menyelenggarakan kehidupan dalam segala bidang dan dengan segala levelnya.</w:t>
      </w:r>
      <w:r>
        <w:rPr>
          <w:color w:val="000000"/>
          <w:lang w:val="id-ID"/>
        </w:rPr>
        <w:t xml:space="preserve"> Akidah sebagai sistem ideologi ini di antaranya ditegaskan oleh Kamil asy-Syarif yang menyatakan bahwa akidah adalah dasar berdirinya bangunan sosial yang kompleks dan menghubungkan semua bagian bangunan itu, baik bagian kecil maupun besar. Akidah ini berperan dalam kehidupan pribadi, kelompok dan syariat; menjadi tolok ukur semua perilaku mereka; dan menguasai semua segi kehidupan.</w:t>
      </w:r>
      <w:r>
        <w:rPr>
          <w:rStyle w:val="FootnoteReference"/>
          <w:color w:val="000000"/>
          <w:lang w:val="id-ID"/>
        </w:rPr>
        <w:footnoteReference w:id="4"/>
      </w:r>
      <w:r>
        <w:rPr>
          <w:color w:val="000000"/>
          <w:lang w:val="id-ID"/>
        </w:rPr>
        <w:t xml:space="preserve"> Bangunan sosial yang dibangun berdasarkan akidah Islam menurutnya adalah bangunan “Masyarakat </w:t>
      </w:r>
      <w:r>
        <w:rPr>
          <w:color w:val="000000"/>
          <w:lang w:val="id-ID"/>
        </w:rPr>
        <w:lastRenderedPageBreak/>
        <w:t>Prajurit”</w:t>
      </w:r>
      <w:r>
        <w:rPr>
          <w:i/>
          <w:iCs/>
          <w:color w:val="000000"/>
          <w:lang w:val="id-ID"/>
        </w:rPr>
        <w:t xml:space="preserve"> (al-Mujtama’ al-Muharib) </w:t>
      </w:r>
      <w:r>
        <w:rPr>
          <w:color w:val="000000"/>
          <w:lang w:val="id-ID"/>
        </w:rPr>
        <w:t xml:space="preserve">dengan ciri-ciri  Masyarakat Tempur </w:t>
      </w:r>
      <w:r>
        <w:rPr>
          <w:i/>
          <w:iCs/>
          <w:color w:val="000000"/>
          <w:lang w:val="id-ID"/>
        </w:rPr>
        <w:t>(Mujtama’ Harb)</w:t>
      </w:r>
      <w:r>
        <w:rPr>
          <w:color w:val="000000"/>
          <w:lang w:val="id-ID"/>
        </w:rPr>
        <w:t xml:space="preserve"> yang memerangi keterbelakangan dan kedhaliman,Masyarakat Utama,Masyarakat Adil, Masyarakat Merdeka, Masyarakat Syura dan Masyarakat Siaga. </w:t>
      </w:r>
      <w:r>
        <w:rPr>
          <w:rStyle w:val="FootnoteReference"/>
          <w:color w:val="000000"/>
          <w:lang w:val="id-ID"/>
        </w:rPr>
        <w:footnoteReference w:id="5"/>
      </w:r>
      <w:r>
        <w:rPr>
          <w:color w:val="000000"/>
          <w:lang w:val="id-ID"/>
        </w:rPr>
        <w:t xml:space="preserve"> Dari pernyataan ini dapat diketahui bahwa akidah menurut Kamil asy-Syarif  merupakan ideologi perlawanan dan permbebasan dalam kehidupan sosial, politik, ekonomi dan hukum.</w:t>
      </w:r>
    </w:p>
    <w:p w:rsidR="00571DDB" w:rsidRDefault="00C928D7">
      <w:pPr>
        <w:spacing w:line="360" w:lineRule="auto"/>
        <w:ind w:firstLine="720"/>
        <w:jc w:val="both"/>
        <w:rPr>
          <w:color w:val="000000"/>
          <w:lang w:val="id-ID"/>
        </w:rPr>
      </w:pPr>
      <w:r>
        <w:rPr>
          <w:color w:val="000000"/>
          <w:lang w:val="id-ID"/>
        </w:rPr>
        <w:t xml:space="preserve">Akidah tauhid sebagai sistem ideologi dalam pemikiran Islam modern berkembang di aliran  revivalisme, fundamentalisme dan idealisme. Aliran-aliran  ini  berusaha untuk membuat hidup umat di zaman sekarang sama dengan hidup umat di zaman Nabi, sahabat dan tabi’in </w:t>
      </w:r>
      <w:r>
        <w:rPr>
          <w:i/>
          <w:iCs/>
          <w:color w:val="000000"/>
          <w:lang w:val="id-ID"/>
        </w:rPr>
        <w:t>(generasi salaf atau as-Salaf ash-Shalih)</w:t>
      </w:r>
      <w:r>
        <w:rPr>
          <w:color w:val="000000"/>
          <w:lang w:val="id-ID"/>
        </w:rPr>
        <w:t xml:space="preserve"> dengan pertimbangan zaman mereka merupakan zaman   terbaik yang wajib ditiru. Karena ada perbedaan dalam memahami realitas zaman terbaik dari generasi awal Islam yang dijadikan teladan itu,  maka ideologi tauhid yang berkembang di tiga aliran tersebut terbagi menjadi   ideologi tertutup dan ideologi terbuka.   </w:t>
      </w:r>
    </w:p>
    <w:p w:rsidR="00571DDB" w:rsidRDefault="00C928D7">
      <w:pPr>
        <w:spacing w:line="360" w:lineRule="auto"/>
        <w:ind w:firstLine="720"/>
        <w:jc w:val="both"/>
        <w:rPr>
          <w:color w:val="000000"/>
          <w:lang w:val="id-ID"/>
        </w:rPr>
      </w:pPr>
      <w:r>
        <w:rPr>
          <w:color w:val="000000"/>
          <w:lang w:val="id-ID"/>
        </w:rPr>
        <w:t>Para eksponen ideologi tertutup memahami bahwa realitas zaman terbaik  adalah sistem dengan  kelembagaan dan bentuknya yang dipraktekkan generasi Islam awal teladan dan harus ditiru sepersis mungkin. Hanya saja di kalangan mereka ada perbedaan dalam menentukan sistem tersebut. Para eksponen dari revivalisme berpandangan bahwa yang harus ditiru adalah  sistem hidup keagamaan yang dipraktekkan generasi awal tersebut sehingga akidah tauhid bagi mereka menjadi ideologi tertutup-puritanistik. Adapun para eksponen dari fundamentalisme, yang di antaranya diwakili pendiri al-Ikhwan al-Muslimun dan Jamaah Islamiyah, berpandangan bahwa yang harus ditiru adalah sistem kehidupan mereka secara menyeluruh sehingga akidah tauhid bagi mereka menjadi ideologi tertutup-sistemik.</w:t>
      </w:r>
    </w:p>
    <w:p w:rsidR="00571DDB" w:rsidRDefault="00C928D7">
      <w:pPr>
        <w:spacing w:line="360" w:lineRule="auto"/>
        <w:ind w:firstLine="720"/>
        <w:jc w:val="both"/>
        <w:rPr>
          <w:lang w:val="id-ID"/>
        </w:rPr>
      </w:pPr>
      <w:r>
        <w:rPr>
          <w:color w:val="000000"/>
          <w:lang w:val="id-ID"/>
        </w:rPr>
        <w:t xml:space="preserve">Meskipun ada perbedaan penentuan sistem, para eksponen ideologi tertutup menggunakan dasar pemikiran tauhid yang  berkembang dalam aliran </w:t>
      </w:r>
      <w:r>
        <w:rPr>
          <w:color w:val="000000"/>
          <w:lang w:val="id-ID"/>
        </w:rPr>
        <w:lastRenderedPageBreak/>
        <w:t xml:space="preserve">Hanabilah. Ibn Taymiah, salah satu eksponen aliran ini, menyatakan bahwa kemusyrikan ada dua macam: kemusyrikan dalam rububiyah berupa kepercayaan ada pengatur alam selain Allah dan kemusyrikan uluhiyah berupa tindakan mempertuhankan selain Allah dengan menyembah dan memanjatkan doa kepadanya. </w:t>
      </w:r>
      <w:r>
        <w:rPr>
          <w:rStyle w:val="FootnoteReference"/>
          <w:color w:val="000000"/>
          <w:lang w:val="id-ID"/>
        </w:rPr>
        <w:footnoteReference w:id="6"/>
      </w:r>
      <w:r>
        <w:rPr>
          <w:color w:val="000000"/>
          <w:lang w:val="id-ID"/>
        </w:rPr>
        <w:t xml:space="preserve"> Kategori  kemusyrikan ini dikembangkan oleh  Ibn Qayyim al-Jauziyah    menjadi kategori tauhid.  Pada pokoknya murid Ibn Taymiah ini membagi tauhid menjadi dua: tauhid ‘ilmi (mengesakan Allah dalam pengetahuan dan kepercayaan) dan tauhid al-qashdi al-iradi (mengesakan Allah dalam  tujuan dan kehendak). Ditegaskannya bahwa bahwa tauhid kedua (qashdi iradi) terbagi menjadi dua: dalam rububiyah da dalam ilahiyah, sehingga tauhid terbagi menjadi 3 kategori: tauhid ilmi, tauhid rububiyah dan ilahiyah. Kemudian dari pujian Allah kepada diri-Nya sendiri yang menafikan sekutu dalam rububiyah dan ilahiah-Nya dan dalam kesempurnaan difat dan nama-nama-Nya, dia menyatakan adanya tauhid dalam nama (asma’) dan sifat.</w:t>
      </w:r>
      <w:r>
        <w:rPr>
          <w:rStyle w:val="FootnoteReference"/>
          <w:color w:val="000000"/>
          <w:lang w:val="id-ID"/>
        </w:rPr>
        <w:footnoteReference w:id="7"/>
      </w:r>
      <w:r>
        <w:rPr>
          <w:color w:val="000000"/>
          <w:lang w:val="id-ID"/>
        </w:rPr>
        <w:t xml:space="preserve">  Penggolongan Ibn Qayyim ini kemudian disederhanakan oleh Syaikh al-‘Ustaimin yang </w:t>
      </w:r>
      <w:r>
        <w:rPr>
          <w:lang w:val="id-ID"/>
        </w:rPr>
        <w:t xml:space="preserve">membagi tauhid menjadi tiga kategori. Pertama, </w:t>
      </w:r>
      <w:r>
        <w:rPr>
          <w:i/>
          <w:iCs/>
          <w:lang w:val="id-ID"/>
        </w:rPr>
        <w:t>tauhid rububiyah,</w:t>
      </w:r>
      <w:r>
        <w:rPr>
          <w:lang w:val="id-ID"/>
        </w:rPr>
        <w:t xml:space="preserve"> mengesakan Allah dalam mencipta, menguasai dan mengatur alam semesta. </w:t>
      </w:r>
      <w:proofErr w:type="gramStart"/>
      <w:r>
        <w:t xml:space="preserve">Kedua, </w:t>
      </w:r>
      <w:r>
        <w:rPr>
          <w:i/>
          <w:iCs/>
        </w:rPr>
        <w:t>tauhid uluhiyah,</w:t>
      </w:r>
      <w:r>
        <w:t xml:space="preserve"> mengesakan Allah dalam ibadah dengan tidak menyembah dan mendekatkan diri kepada selain-Nya.</w:t>
      </w:r>
      <w:proofErr w:type="gramEnd"/>
      <w:r>
        <w:t xml:space="preserve"> Ketiga, tauhid </w:t>
      </w:r>
      <w:r>
        <w:rPr>
          <w:i/>
          <w:iCs/>
          <w:lang w:val="id-ID"/>
        </w:rPr>
        <w:t>al</w:t>
      </w:r>
      <w:r>
        <w:rPr>
          <w:lang w:val="id-ID"/>
        </w:rPr>
        <w:t>-</w:t>
      </w:r>
      <w:r>
        <w:rPr>
          <w:i/>
          <w:iCs/>
        </w:rPr>
        <w:t>asma’ was sifat,</w:t>
      </w:r>
      <w:r>
        <w:t xml:space="preserve"> mengesakan Allah dalam pemberian </w:t>
      </w:r>
      <w:proofErr w:type="gramStart"/>
      <w:r>
        <w:t>nama  dan</w:t>
      </w:r>
      <w:proofErr w:type="gramEnd"/>
      <w:r>
        <w:t xml:space="preserve"> sifat kepada Dirinya sebagaimana yang terdapat dalam al-Qur’an dan hadis nabi, tanpa mengubah, menafikan, pencaraan dan perbandingan.</w:t>
      </w:r>
      <w:r>
        <w:rPr>
          <w:rStyle w:val="FootnoteReference"/>
        </w:rPr>
        <w:footnoteReference w:id="8"/>
      </w:r>
      <w:r>
        <w:t xml:space="preserve"> </w:t>
      </w:r>
    </w:p>
    <w:p w:rsidR="00571DDB" w:rsidRDefault="00C928D7">
      <w:pPr>
        <w:spacing w:line="360" w:lineRule="auto"/>
        <w:ind w:firstLine="720"/>
        <w:jc w:val="both"/>
        <w:rPr>
          <w:i/>
          <w:iCs/>
          <w:lang w:val="id-ID"/>
        </w:rPr>
      </w:pPr>
      <w:r>
        <w:rPr>
          <w:lang w:val="id-ID"/>
        </w:rPr>
        <w:t xml:space="preserve">Berdasarkan pemikiran tauhid al-‘Utsaimin itu, Muhammad Hassan, ideolog revivalisme, merumuskan akidah tauhid sebagai ideologi tertutup dengan </w:t>
      </w:r>
      <w:r>
        <w:rPr>
          <w:lang w:val="id-ID"/>
        </w:rPr>
        <w:lastRenderedPageBreak/>
        <w:t xml:space="preserve">berangkat dari syahadat tauhid dan syahadat rasul. Syahadat tauhid, menurutnya, menetapkan 3 ajaran dasar </w:t>
      </w:r>
      <w:r>
        <w:rPr>
          <w:i/>
          <w:iCs/>
          <w:lang w:val="id-ID"/>
        </w:rPr>
        <w:t>(al-ushul ats-tsalatsah):</w:t>
      </w:r>
    </w:p>
    <w:p w:rsidR="00571DDB" w:rsidRDefault="00C928D7">
      <w:pPr>
        <w:pStyle w:val="ListParagraph"/>
        <w:numPr>
          <w:ilvl w:val="0"/>
          <w:numId w:val="24"/>
        </w:numPr>
        <w:spacing w:line="360" w:lineRule="auto"/>
        <w:jc w:val="both"/>
        <w:rPr>
          <w:color w:val="000000"/>
          <w:lang w:val="id-ID"/>
        </w:rPr>
      </w:pPr>
      <w:r>
        <w:rPr>
          <w:i/>
          <w:iCs/>
          <w:lang w:val="id-ID"/>
        </w:rPr>
        <w:t>nafyu wa itsbat. Nafyu</w:t>
      </w:r>
      <w:r>
        <w:rPr>
          <w:lang w:val="id-ID"/>
        </w:rPr>
        <w:t xml:space="preserve"> meniadakan  sesembahan, sekutu,</w:t>
      </w:r>
      <w:r>
        <w:rPr>
          <w:i/>
          <w:iCs/>
          <w:lang w:val="id-ID"/>
        </w:rPr>
        <w:t xml:space="preserve"> thaghut</w:t>
      </w:r>
      <w:r>
        <w:rPr>
          <w:lang w:val="id-ID"/>
        </w:rPr>
        <w:t xml:space="preserve"> dan  penguasa-penguasa selain Allah. Kemudian </w:t>
      </w:r>
      <w:r>
        <w:rPr>
          <w:i/>
          <w:iCs/>
          <w:lang w:val="id-ID"/>
        </w:rPr>
        <w:t>itsbat</w:t>
      </w:r>
      <w:r>
        <w:rPr>
          <w:lang w:val="id-ID"/>
        </w:rPr>
        <w:t xml:space="preserve"> adalah menetapkan  </w:t>
      </w:r>
      <w:r>
        <w:rPr>
          <w:i/>
          <w:iCs/>
          <w:lang w:val="id-ID"/>
        </w:rPr>
        <w:t xml:space="preserve">tauhid rububiyah, uluhiyah </w:t>
      </w:r>
      <w:r>
        <w:rPr>
          <w:lang w:val="id-ID"/>
        </w:rPr>
        <w:t xml:space="preserve">dan </w:t>
      </w:r>
      <w:r>
        <w:rPr>
          <w:i/>
          <w:iCs/>
          <w:lang w:val="id-ID"/>
        </w:rPr>
        <w:t xml:space="preserve">tauhid al-asma wa ash-shifat </w:t>
      </w:r>
      <w:r>
        <w:rPr>
          <w:lang w:val="id-ID"/>
        </w:rPr>
        <w:t>bagi-Nya;</w:t>
      </w:r>
    </w:p>
    <w:p w:rsidR="00571DDB" w:rsidRDefault="00C928D7">
      <w:pPr>
        <w:pStyle w:val="ListParagraph"/>
        <w:numPr>
          <w:ilvl w:val="0"/>
          <w:numId w:val="24"/>
        </w:numPr>
        <w:spacing w:line="360" w:lineRule="auto"/>
        <w:jc w:val="both"/>
        <w:rPr>
          <w:color w:val="000000"/>
          <w:lang w:val="id-ID"/>
        </w:rPr>
      </w:pPr>
      <w:r>
        <w:rPr>
          <w:i/>
          <w:iCs/>
          <w:lang w:val="id-ID"/>
        </w:rPr>
        <w:t>wala’ wa bara’</w:t>
      </w:r>
      <w:r>
        <w:rPr>
          <w:lang w:val="id-ID"/>
        </w:rPr>
        <w:t xml:space="preserve"> yang  merupakan wujud penerapan tauhid dalam kenyataan. </w:t>
      </w:r>
      <w:r>
        <w:rPr>
          <w:i/>
          <w:iCs/>
          <w:lang w:val="id-ID"/>
        </w:rPr>
        <w:t xml:space="preserve">Wala’ </w:t>
      </w:r>
      <w:r>
        <w:rPr>
          <w:lang w:val="id-ID"/>
        </w:rPr>
        <w:t xml:space="preserve">adalah  setia dan cinta kepada Allah, rasul-Nya dan kaum beriman apapun bangsa,  bahasa, dan di manapun tempat tinggal mereka; merasa sakit dan gembira dengan kesakitan dan kegembiraan mereka. Kemudian </w:t>
      </w:r>
      <w:r>
        <w:rPr>
          <w:i/>
          <w:iCs/>
          <w:lang w:val="id-ID"/>
        </w:rPr>
        <w:t xml:space="preserve"> bara’</w:t>
      </w:r>
      <w:r>
        <w:rPr>
          <w:lang w:val="id-ID"/>
        </w:rPr>
        <w:t xml:space="preserve"> adalah benci dan memusuhi kemusyrikan, orang-orang musyrik dan musuh-musuh Allah di manapun dan kapanpun (hlm. 106). Berkaitan dengan ini Hassan menegaskan bahwa agama orang beriman hanya benar dengan mengasihi para penganut tauhid dan dengan memusuhi, membenci dan lepas hubungan dari para penganut kesesatan (hlm.102).</w:t>
      </w:r>
    </w:p>
    <w:p w:rsidR="00571DDB" w:rsidRDefault="00C928D7">
      <w:pPr>
        <w:pStyle w:val="ListParagraph"/>
        <w:numPr>
          <w:ilvl w:val="0"/>
          <w:numId w:val="24"/>
        </w:numPr>
        <w:spacing w:line="360" w:lineRule="auto"/>
        <w:jc w:val="both"/>
        <w:rPr>
          <w:color w:val="000000"/>
          <w:lang w:val="id-ID"/>
        </w:rPr>
      </w:pPr>
      <w:r>
        <w:rPr>
          <w:i/>
          <w:iCs/>
          <w:color w:val="000000"/>
          <w:lang w:val="id-ID"/>
        </w:rPr>
        <w:t>tahkim li asy-syari’ah,</w:t>
      </w:r>
      <w:r>
        <w:rPr>
          <w:color w:val="000000"/>
          <w:lang w:val="id-ID"/>
        </w:rPr>
        <w:t xml:space="preserve"> tunduk kepada syariat yang merupakan ketentuan tentang apa yang wajib dilakukan dalam kehidupan sebagai tatanan-tatanan akhlak, politik, sosial dan  ekonomi (139).</w:t>
      </w:r>
    </w:p>
    <w:p w:rsidR="00571DDB" w:rsidRDefault="00C928D7">
      <w:pPr>
        <w:spacing w:line="360" w:lineRule="auto"/>
        <w:jc w:val="both"/>
        <w:rPr>
          <w:lang w:val="id-ID"/>
        </w:rPr>
      </w:pPr>
      <w:r>
        <w:rPr>
          <w:lang w:val="id-ID"/>
        </w:rPr>
        <w:t>Adapun syahadat rasul, menurutnya, menetapkan 4 ajaran dasar:</w:t>
      </w:r>
    </w:p>
    <w:p w:rsidR="00571DDB" w:rsidRDefault="00C928D7">
      <w:pPr>
        <w:pStyle w:val="ListParagraph"/>
        <w:numPr>
          <w:ilvl w:val="0"/>
          <w:numId w:val="19"/>
        </w:numPr>
        <w:spacing w:line="360" w:lineRule="auto"/>
        <w:jc w:val="both"/>
        <w:rPr>
          <w:lang w:val="id-ID"/>
        </w:rPr>
      </w:pPr>
      <w:r>
        <w:rPr>
          <w:lang w:val="id-ID"/>
        </w:rPr>
        <w:t>iman kepada Rasulullah SAW,</w:t>
      </w:r>
    </w:p>
    <w:p w:rsidR="00571DDB" w:rsidRDefault="00C928D7">
      <w:pPr>
        <w:pStyle w:val="ListParagraph"/>
        <w:numPr>
          <w:ilvl w:val="0"/>
          <w:numId w:val="19"/>
        </w:numPr>
        <w:spacing w:line="360" w:lineRule="auto"/>
        <w:jc w:val="both"/>
        <w:rPr>
          <w:lang w:val="id-ID"/>
        </w:rPr>
      </w:pPr>
      <w:r>
        <w:rPr>
          <w:lang w:val="id-ID"/>
        </w:rPr>
        <w:t>membenarkan  segala hal yang disampaikannya,</w:t>
      </w:r>
    </w:p>
    <w:p w:rsidR="00571DDB" w:rsidRDefault="00C928D7">
      <w:pPr>
        <w:pStyle w:val="ListParagraph"/>
        <w:numPr>
          <w:ilvl w:val="0"/>
          <w:numId w:val="19"/>
        </w:numPr>
        <w:spacing w:line="360" w:lineRule="auto"/>
        <w:jc w:val="both"/>
        <w:rPr>
          <w:lang w:val="id-ID"/>
        </w:rPr>
      </w:pPr>
      <w:r>
        <w:rPr>
          <w:lang w:val="id-ID"/>
        </w:rPr>
        <w:t>menataai semua perintah dan meninggalkan semua yang dilarangnya,</w:t>
      </w:r>
    </w:p>
    <w:p w:rsidR="00571DDB" w:rsidRDefault="00C928D7">
      <w:pPr>
        <w:pStyle w:val="ListParagraph"/>
        <w:numPr>
          <w:ilvl w:val="0"/>
          <w:numId w:val="19"/>
        </w:numPr>
        <w:spacing w:line="360" w:lineRule="auto"/>
        <w:jc w:val="both"/>
        <w:rPr>
          <w:lang w:val="id-ID"/>
        </w:rPr>
      </w:pPr>
      <w:r>
        <w:rPr>
          <w:lang w:val="id-ID"/>
        </w:rPr>
        <w:t>mencintainya tanpa melampaui batas dan berlebih-lebihan dalam memujinya.</w:t>
      </w:r>
    </w:p>
    <w:p w:rsidR="00571DDB" w:rsidRDefault="00C928D7">
      <w:pPr>
        <w:spacing w:line="360" w:lineRule="auto"/>
        <w:ind w:firstLine="720"/>
        <w:jc w:val="both"/>
        <w:rPr>
          <w:lang w:val="id-ID"/>
        </w:rPr>
      </w:pPr>
      <w:r>
        <w:rPr>
          <w:lang w:val="id-ID"/>
        </w:rPr>
        <w:t xml:space="preserve">Dengan demikian dalam revivalisme ada 7 ajaran dasar yang menurut Hassan  hanya dapat tegak dengan syarat-syarat positif dan negatif.  Syarat  positif ada 7: pemahaman, keyakinan, penerimaan, ketaatan, kesungguhan, ikhlas dan </w:t>
      </w:r>
      <w:r>
        <w:rPr>
          <w:lang w:val="id-ID"/>
        </w:rPr>
        <w:lastRenderedPageBreak/>
        <w:t>cinta. Adapun syarat negatifnya tunggal, yaitu tidak mengikuti hal yang merusak tauhid  berupa kemusyrikan besar dan kemusyrikan kecil (riya’).</w:t>
      </w:r>
      <w:r>
        <w:rPr>
          <w:rStyle w:val="FootnoteReference"/>
          <w:lang w:val="id-ID"/>
        </w:rPr>
        <w:footnoteReference w:id="9"/>
      </w:r>
    </w:p>
    <w:p w:rsidR="00571DDB" w:rsidRDefault="00C928D7">
      <w:pPr>
        <w:spacing w:line="360" w:lineRule="auto"/>
        <w:ind w:firstLine="720"/>
        <w:jc w:val="both"/>
        <w:rPr>
          <w:lang w:val="id-ID"/>
        </w:rPr>
      </w:pPr>
      <w:r>
        <w:rPr>
          <w:lang w:val="id-ID"/>
        </w:rPr>
        <w:t xml:space="preserve">Tidak seperti revivalisme yang menyederhakan pemikiran tauhid Ibn Qayyim, aliran fundamentalisme mengembangkannya. Pengembangan ini dilakukan oleh al-Wasyli, seorang ideolog Al-Ikhwan al-Muslimun   membagi tauhid  menjadi tauhid </w:t>
      </w:r>
      <w:r>
        <w:rPr>
          <w:i/>
          <w:iCs/>
          <w:lang w:val="id-ID"/>
        </w:rPr>
        <w:t>ma’rifat</w:t>
      </w:r>
      <w:r>
        <w:rPr>
          <w:lang w:val="id-ID"/>
        </w:rPr>
        <w:t xml:space="preserve"> dan</w:t>
      </w:r>
      <w:r>
        <w:rPr>
          <w:i/>
          <w:iCs/>
          <w:lang w:val="id-ID"/>
        </w:rPr>
        <w:t xml:space="preserve"> itsbat</w:t>
      </w:r>
      <w:r>
        <w:rPr>
          <w:lang w:val="id-ID"/>
        </w:rPr>
        <w:t xml:space="preserve"> (tauhid </w:t>
      </w:r>
      <w:r>
        <w:rPr>
          <w:i/>
          <w:iCs/>
          <w:lang w:val="id-ID"/>
        </w:rPr>
        <w:t>rububiyah</w:t>
      </w:r>
      <w:r>
        <w:rPr>
          <w:lang w:val="id-ID"/>
        </w:rPr>
        <w:t xml:space="preserve"> dan tauhid</w:t>
      </w:r>
      <w:r>
        <w:rPr>
          <w:i/>
          <w:iCs/>
          <w:lang w:val="id-ID"/>
        </w:rPr>
        <w:t xml:space="preserve"> asma’ wa sifat)</w:t>
      </w:r>
      <w:r>
        <w:rPr>
          <w:lang w:val="id-ID"/>
        </w:rPr>
        <w:t xml:space="preserve">; dan tauhid yang berkenaan dengan permintaan dan tujuan (tauhid ilahiah dan ibadah). Di samping itu dia juga mengembangkannya menjadi tauhid </w:t>
      </w:r>
      <w:r>
        <w:rPr>
          <w:i/>
          <w:iCs/>
          <w:lang w:val="id-ID"/>
        </w:rPr>
        <w:t>‘ilmi khabari</w:t>
      </w:r>
      <w:r>
        <w:rPr>
          <w:lang w:val="id-ID"/>
        </w:rPr>
        <w:t xml:space="preserve"> (kepercayaan tentang Allah,sifat dan perbuatan-perbuatan-Nya yang dikemukakan al-Qur’an) dan tauhid </w:t>
      </w:r>
      <w:r>
        <w:rPr>
          <w:i/>
          <w:iCs/>
          <w:lang w:val="id-ID"/>
        </w:rPr>
        <w:t>iradi</w:t>
      </w:r>
      <w:r>
        <w:rPr>
          <w:lang w:val="id-ID"/>
        </w:rPr>
        <w:t xml:space="preserve"> (menyembah Allah semata, tidak menyekutukan-Nya dan membebaskan diri dari sesembahan selain-Nya).</w:t>
      </w:r>
      <w:r>
        <w:rPr>
          <w:rStyle w:val="FootnoteReference"/>
          <w:lang w:val="id-ID"/>
        </w:rPr>
        <w:footnoteReference w:id="10"/>
      </w:r>
    </w:p>
    <w:p w:rsidR="00571DDB" w:rsidRDefault="00C928D7">
      <w:pPr>
        <w:spacing w:line="360" w:lineRule="auto"/>
        <w:ind w:firstLine="720"/>
        <w:jc w:val="both"/>
        <w:rPr>
          <w:lang w:val="id-ID"/>
        </w:rPr>
      </w:pPr>
      <w:r>
        <w:rPr>
          <w:lang w:val="id-ID"/>
        </w:rPr>
        <w:t xml:space="preserve"> Hasan al-Banna, pendiri al-Ikhwan al-Muslimun, menurunkan ketiga kategori tauhid al-‘Utsaimin    menjadi 20 ajaran dasar: </w:t>
      </w:r>
    </w:p>
    <w:p w:rsidR="00571DDB" w:rsidRDefault="00C928D7">
      <w:pPr>
        <w:pStyle w:val="ListParagraph"/>
        <w:numPr>
          <w:ilvl w:val="0"/>
          <w:numId w:val="4"/>
        </w:numPr>
        <w:spacing w:line="360" w:lineRule="auto"/>
        <w:jc w:val="both"/>
        <w:rPr>
          <w:lang w:val="id-ID"/>
        </w:rPr>
      </w:pPr>
      <w:r>
        <w:rPr>
          <w:lang w:val="id-ID"/>
        </w:rPr>
        <w:t>Kesempurnaan Islam;</w:t>
      </w:r>
    </w:p>
    <w:p w:rsidR="00571DDB" w:rsidRDefault="00C928D7">
      <w:pPr>
        <w:pStyle w:val="ListParagraph"/>
        <w:numPr>
          <w:ilvl w:val="0"/>
          <w:numId w:val="4"/>
        </w:numPr>
        <w:spacing w:line="360" w:lineRule="auto"/>
        <w:jc w:val="both"/>
        <w:rPr>
          <w:lang w:val="id-ID"/>
        </w:rPr>
      </w:pPr>
      <w:r>
        <w:rPr>
          <w:lang w:val="id-ID"/>
        </w:rPr>
        <w:t>Memperkenalkan sumber-sumber hukum Islam dan kaedah-kaedah memahaminya;</w:t>
      </w:r>
    </w:p>
    <w:p w:rsidR="00571DDB" w:rsidRDefault="00C928D7">
      <w:pPr>
        <w:pStyle w:val="ListParagraph"/>
        <w:numPr>
          <w:ilvl w:val="0"/>
          <w:numId w:val="4"/>
        </w:numPr>
        <w:spacing w:line="360" w:lineRule="auto"/>
        <w:jc w:val="both"/>
        <w:rPr>
          <w:lang w:val="id-ID"/>
        </w:rPr>
      </w:pPr>
      <w:r>
        <w:rPr>
          <w:lang w:val="id-ID"/>
        </w:rPr>
        <w:t>Pengaruh iman, ibadah dan mujahadah;</w:t>
      </w:r>
    </w:p>
    <w:p w:rsidR="00571DDB" w:rsidRDefault="00C928D7">
      <w:pPr>
        <w:pStyle w:val="ListParagraph"/>
        <w:numPr>
          <w:ilvl w:val="0"/>
          <w:numId w:val="4"/>
        </w:numPr>
        <w:spacing w:line="360" w:lineRule="auto"/>
        <w:jc w:val="both"/>
        <w:rPr>
          <w:lang w:val="id-ID"/>
        </w:rPr>
      </w:pPr>
      <w:r>
        <w:rPr>
          <w:lang w:val="id-ID"/>
        </w:rPr>
        <w:t>Menggunakan sebab (sarana) selama bukan sarana Jahiliah;</w:t>
      </w:r>
    </w:p>
    <w:p w:rsidR="00571DDB" w:rsidRDefault="00C928D7">
      <w:pPr>
        <w:pStyle w:val="ListParagraph"/>
        <w:numPr>
          <w:ilvl w:val="0"/>
          <w:numId w:val="4"/>
        </w:numPr>
        <w:spacing w:line="360" w:lineRule="auto"/>
        <w:jc w:val="both"/>
        <w:rPr>
          <w:lang w:val="id-ID"/>
        </w:rPr>
      </w:pPr>
      <w:r>
        <w:rPr>
          <w:lang w:val="id-ID"/>
        </w:rPr>
        <w:t>Pendapat imam adalah pemutus masalah-masalah yang tidak ada nashnya dan yang membedakan antara ibadah dengan kebiasaan;</w:t>
      </w:r>
    </w:p>
    <w:p w:rsidR="00571DDB" w:rsidRDefault="00C928D7">
      <w:pPr>
        <w:pStyle w:val="ListParagraph"/>
        <w:numPr>
          <w:ilvl w:val="0"/>
          <w:numId w:val="4"/>
        </w:numPr>
        <w:spacing w:line="360" w:lineRule="auto"/>
        <w:jc w:val="both"/>
        <w:rPr>
          <w:lang w:val="id-ID"/>
        </w:rPr>
      </w:pPr>
      <w:r>
        <w:rPr>
          <w:lang w:val="id-ID"/>
        </w:rPr>
        <w:t>Neraca untuk menimbang pendapat-pendapat para ulama dan tata etika kepada para pendahulu umat ini;</w:t>
      </w:r>
    </w:p>
    <w:p w:rsidR="00571DDB" w:rsidRDefault="00C928D7">
      <w:pPr>
        <w:pStyle w:val="ListParagraph"/>
        <w:numPr>
          <w:ilvl w:val="0"/>
          <w:numId w:val="4"/>
        </w:numPr>
        <w:spacing w:line="360" w:lineRule="auto"/>
        <w:jc w:val="both"/>
        <w:rPr>
          <w:lang w:val="id-ID"/>
        </w:rPr>
      </w:pPr>
      <w:r>
        <w:rPr>
          <w:lang w:val="id-ID"/>
        </w:rPr>
        <w:t>Ijtihad, taklid dan kemazhaban;</w:t>
      </w:r>
    </w:p>
    <w:p w:rsidR="00571DDB" w:rsidRDefault="00C928D7">
      <w:pPr>
        <w:pStyle w:val="ListParagraph"/>
        <w:numPr>
          <w:ilvl w:val="0"/>
          <w:numId w:val="4"/>
        </w:numPr>
        <w:spacing w:line="360" w:lineRule="auto"/>
        <w:jc w:val="both"/>
        <w:rPr>
          <w:lang w:val="id-ID"/>
        </w:rPr>
      </w:pPr>
      <w:r>
        <w:rPr>
          <w:lang w:val="id-ID"/>
        </w:rPr>
        <w:t xml:space="preserve">Perbedaan dalam masalah </w:t>
      </w:r>
      <w:r>
        <w:rPr>
          <w:i/>
          <w:iCs/>
          <w:lang w:val="id-ID"/>
        </w:rPr>
        <w:t xml:space="preserve">furu’ </w:t>
      </w:r>
      <w:r>
        <w:rPr>
          <w:lang w:val="id-ID"/>
        </w:rPr>
        <w:t>dan etika dalam perbedaan;</w:t>
      </w:r>
    </w:p>
    <w:p w:rsidR="00571DDB" w:rsidRDefault="00C928D7">
      <w:pPr>
        <w:pStyle w:val="ListParagraph"/>
        <w:numPr>
          <w:ilvl w:val="0"/>
          <w:numId w:val="4"/>
        </w:numPr>
        <w:spacing w:line="360" w:lineRule="auto"/>
        <w:jc w:val="both"/>
        <w:rPr>
          <w:lang w:val="id-ID"/>
        </w:rPr>
      </w:pPr>
      <w:r>
        <w:rPr>
          <w:lang w:val="id-ID"/>
        </w:rPr>
        <w:t>Mempersulit diri dalam beragama adalah dilarang;</w:t>
      </w:r>
    </w:p>
    <w:p w:rsidR="00571DDB" w:rsidRDefault="00C928D7">
      <w:pPr>
        <w:pStyle w:val="ListParagraph"/>
        <w:numPr>
          <w:ilvl w:val="0"/>
          <w:numId w:val="4"/>
        </w:numPr>
        <w:spacing w:line="360" w:lineRule="auto"/>
        <w:jc w:val="both"/>
        <w:rPr>
          <w:lang w:val="id-ID"/>
        </w:rPr>
      </w:pPr>
      <w:r>
        <w:rPr>
          <w:lang w:val="id-ID"/>
        </w:rPr>
        <w:t>Iman kepada Allah dan sifat-sifat-Nya;</w:t>
      </w:r>
    </w:p>
    <w:p w:rsidR="00571DDB" w:rsidRDefault="00C928D7">
      <w:pPr>
        <w:pStyle w:val="ListParagraph"/>
        <w:numPr>
          <w:ilvl w:val="0"/>
          <w:numId w:val="4"/>
        </w:numPr>
        <w:spacing w:line="360" w:lineRule="auto"/>
        <w:jc w:val="both"/>
        <w:rPr>
          <w:lang w:val="id-ID"/>
        </w:rPr>
      </w:pPr>
      <w:r>
        <w:rPr>
          <w:lang w:val="id-ID"/>
        </w:rPr>
        <w:t>Bid’ah dalam agama Allah adalah kesesatan;</w:t>
      </w:r>
    </w:p>
    <w:p w:rsidR="00571DDB" w:rsidRDefault="00C928D7">
      <w:pPr>
        <w:pStyle w:val="ListParagraph"/>
        <w:numPr>
          <w:ilvl w:val="0"/>
          <w:numId w:val="4"/>
        </w:numPr>
        <w:spacing w:line="360" w:lineRule="auto"/>
        <w:jc w:val="both"/>
        <w:rPr>
          <w:lang w:val="id-ID"/>
        </w:rPr>
      </w:pPr>
      <w:r>
        <w:rPr>
          <w:lang w:val="id-ID"/>
        </w:rPr>
        <w:lastRenderedPageBreak/>
        <w:t xml:space="preserve"> Perbedaan dalam masalah </w:t>
      </w:r>
      <w:r>
        <w:rPr>
          <w:i/>
          <w:iCs/>
          <w:lang w:val="id-ID"/>
        </w:rPr>
        <w:t>bid’ah idlafiyah</w:t>
      </w:r>
      <w:r>
        <w:rPr>
          <w:lang w:val="id-ID"/>
        </w:rPr>
        <w:t xml:space="preserve"> adalah perbedaan dalam masalah fikih;</w:t>
      </w:r>
    </w:p>
    <w:p w:rsidR="00571DDB" w:rsidRDefault="00C928D7">
      <w:pPr>
        <w:pStyle w:val="ListParagraph"/>
        <w:numPr>
          <w:ilvl w:val="0"/>
          <w:numId w:val="4"/>
        </w:numPr>
        <w:spacing w:line="360" w:lineRule="auto"/>
        <w:jc w:val="both"/>
        <w:rPr>
          <w:lang w:val="id-ID"/>
        </w:rPr>
      </w:pPr>
      <w:r>
        <w:rPr>
          <w:lang w:val="id-ID"/>
        </w:rPr>
        <w:t>Kriteria mencintai orang-orang saleh, batas-batas kewalian dan hukum menetapkan karamah bagi mereka;</w:t>
      </w:r>
    </w:p>
    <w:p w:rsidR="00571DDB" w:rsidRDefault="00C928D7">
      <w:pPr>
        <w:pStyle w:val="ListParagraph"/>
        <w:numPr>
          <w:ilvl w:val="0"/>
          <w:numId w:val="4"/>
        </w:numPr>
        <w:spacing w:line="360" w:lineRule="auto"/>
        <w:jc w:val="both"/>
        <w:rPr>
          <w:lang w:val="id-ID"/>
        </w:rPr>
      </w:pPr>
      <w:r>
        <w:rPr>
          <w:lang w:val="id-ID"/>
        </w:rPr>
        <w:t>Disyariatkannya ziarah kubur dan bid’ah yang dimunculkan orang di dalamnya;</w:t>
      </w:r>
    </w:p>
    <w:p w:rsidR="00571DDB" w:rsidRDefault="00C928D7">
      <w:pPr>
        <w:pStyle w:val="ListParagraph"/>
        <w:numPr>
          <w:ilvl w:val="0"/>
          <w:numId w:val="4"/>
        </w:numPr>
        <w:spacing w:line="360" w:lineRule="auto"/>
        <w:jc w:val="both"/>
        <w:rPr>
          <w:lang w:val="id-ID"/>
        </w:rPr>
      </w:pPr>
      <w:r>
        <w:rPr>
          <w:lang w:val="id-ID"/>
        </w:rPr>
        <w:t>Doa dan tawasul;</w:t>
      </w:r>
    </w:p>
    <w:p w:rsidR="00571DDB" w:rsidRDefault="00C928D7">
      <w:pPr>
        <w:pStyle w:val="ListParagraph"/>
        <w:numPr>
          <w:ilvl w:val="0"/>
          <w:numId w:val="4"/>
        </w:numPr>
        <w:spacing w:line="360" w:lineRule="auto"/>
        <w:jc w:val="both"/>
        <w:rPr>
          <w:lang w:val="id-ID"/>
        </w:rPr>
      </w:pPr>
      <w:r>
        <w:rPr>
          <w:lang w:val="id-ID"/>
        </w:rPr>
        <w:t>Tradisi dan adat istiadat dapat dijadikan landasan selama tidak mengubah prinsip-prinsip syariat;</w:t>
      </w:r>
    </w:p>
    <w:p w:rsidR="00571DDB" w:rsidRDefault="00C928D7">
      <w:pPr>
        <w:pStyle w:val="ListParagraph"/>
        <w:numPr>
          <w:ilvl w:val="0"/>
          <w:numId w:val="4"/>
        </w:numPr>
        <w:spacing w:line="360" w:lineRule="auto"/>
        <w:jc w:val="both"/>
        <w:rPr>
          <w:lang w:val="id-ID"/>
        </w:rPr>
      </w:pPr>
      <w:r>
        <w:rPr>
          <w:lang w:val="id-ID"/>
        </w:rPr>
        <w:t>Akidah dan perbuatan hati;</w:t>
      </w:r>
    </w:p>
    <w:p w:rsidR="00571DDB" w:rsidRDefault="00C928D7">
      <w:pPr>
        <w:pStyle w:val="ListParagraph"/>
        <w:numPr>
          <w:ilvl w:val="0"/>
          <w:numId w:val="4"/>
        </w:numPr>
        <w:spacing w:line="360" w:lineRule="auto"/>
        <w:jc w:val="both"/>
        <w:rPr>
          <w:lang w:val="id-ID"/>
        </w:rPr>
      </w:pPr>
      <w:r>
        <w:rPr>
          <w:lang w:val="id-ID"/>
        </w:rPr>
        <w:t>Kedudukan akal, pengaruh dan batas wilayah kerjanya;</w:t>
      </w:r>
    </w:p>
    <w:p w:rsidR="00571DDB" w:rsidRDefault="00C928D7">
      <w:pPr>
        <w:pStyle w:val="ListParagraph"/>
        <w:numPr>
          <w:ilvl w:val="0"/>
          <w:numId w:val="4"/>
        </w:numPr>
        <w:spacing w:line="360" w:lineRule="auto"/>
        <w:jc w:val="both"/>
        <w:rPr>
          <w:lang w:val="id-ID"/>
        </w:rPr>
      </w:pPr>
      <w:r>
        <w:rPr>
          <w:lang w:val="id-ID"/>
        </w:rPr>
        <w:t>Syariat lebih didahulukan daripada akal;</w:t>
      </w:r>
    </w:p>
    <w:p w:rsidR="00571DDB" w:rsidRDefault="00C928D7">
      <w:pPr>
        <w:pStyle w:val="ListParagraph"/>
        <w:numPr>
          <w:ilvl w:val="0"/>
          <w:numId w:val="4"/>
        </w:numPr>
        <w:spacing w:line="360" w:lineRule="auto"/>
        <w:jc w:val="both"/>
        <w:rPr>
          <w:lang w:val="id-ID"/>
        </w:rPr>
      </w:pPr>
      <w:r>
        <w:rPr>
          <w:lang w:val="id-ID"/>
        </w:rPr>
        <w:t xml:space="preserve">Kriteria dan batas-batas pengkafiran menurut </w:t>
      </w:r>
      <w:r>
        <w:rPr>
          <w:i/>
          <w:iCs/>
          <w:lang w:val="id-ID"/>
        </w:rPr>
        <w:t>ahlul haqq.</w:t>
      </w:r>
      <w:r>
        <w:rPr>
          <w:rStyle w:val="FootnoteReference"/>
          <w:lang w:val="id-ID"/>
        </w:rPr>
        <w:footnoteReference w:id="11"/>
      </w:r>
    </w:p>
    <w:p w:rsidR="00571DDB" w:rsidRDefault="00C928D7">
      <w:pPr>
        <w:spacing w:line="360" w:lineRule="auto"/>
        <w:ind w:firstLine="720"/>
        <w:jc w:val="both"/>
        <w:rPr>
          <w:lang w:val="id-ID"/>
        </w:rPr>
      </w:pPr>
      <w:r>
        <w:rPr>
          <w:lang w:val="id-ID"/>
        </w:rPr>
        <w:t>Pemikiran tauhid al-‘Utsaimin juga diterima  oleh al-Maududi, pendiri Jamaah Islamiyah. Dengan tetap menekankan kapasitas Allah sebagai</w:t>
      </w:r>
      <w:r>
        <w:rPr>
          <w:i/>
          <w:iCs/>
          <w:lang w:val="id-ID"/>
        </w:rPr>
        <w:t xml:space="preserve"> Ilah (tauhid uluhiah) </w:t>
      </w:r>
      <w:r>
        <w:rPr>
          <w:lang w:val="id-ID"/>
        </w:rPr>
        <w:t xml:space="preserve"> yang dihubungkan  dengan ibadah dan  kapasitas </w:t>
      </w:r>
      <w:r>
        <w:rPr>
          <w:i/>
          <w:iCs/>
          <w:lang w:val="id-ID"/>
        </w:rPr>
        <w:t xml:space="preserve">Rabb (tauhid rububiyah) </w:t>
      </w:r>
      <w:r>
        <w:rPr>
          <w:lang w:val="id-ID"/>
        </w:rPr>
        <w:t xml:space="preserve">yang dihubungkan dengan </w:t>
      </w:r>
      <w:r>
        <w:rPr>
          <w:i/>
          <w:iCs/>
          <w:lang w:val="id-ID"/>
        </w:rPr>
        <w:t>din,</w:t>
      </w:r>
      <w:r>
        <w:rPr>
          <w:lang w:val="id-ID"/>
        </w:rPr>
        <w:t xml:space="preserve">  al-Maududi menegaskan bahwa keempat istilah ini </w:t>
      </w:r>
      <w:r>
        <w:rPr>
          <w:i/>
          <w:iCs/>
          <w:lang w:val="id-ID"/>
        </w:rPr>
        <w:t xml:space="preserve">(Ilah, Rabb, </w:t>
      </w:r>
      <w:r>
        <w:rPr>
          <w:lang w:val="id-ID"/>
        </w:rPr>
        <w:t xml:space="preserve">ibadah dan </w:t>
      </w:r>
      <w:r>
        <w:rPr>
          <w:i/>
          <w:iCs/>
          <w:lang w:val="id-ID"/>
        </w:rPr>
        <w:t>din)</w:t>
      </w:r>
      <w:r>
        <w:rPr>
          <w:lang w:val="id-ID"/>
        </w:rPr>
        <w:t xml:space="preserve">  merupakan istilah asasi yang dijadikan kunci untuk memahami ajaran-ajaran Islam, khususnya sistem pemerintahan.</w:t>
      </w:r>
      <w:r>
        <w:rPr>
          <w:rStyle w:val="FootnoteReference"/>
        </w:rPr>
        <w:footnoteReference w:id="12"/>
      </w:r>
    </w:p>
    <w:p w:rsidR="00571DDB" w:rsidRDefault="00C928D7">
      <w:pPr>
        <w:spacing w:line="360" w:lineRule="auto"/>
        <w:ind w:firstLine="720"/>
        <w:jc w:val="both"/>
        <w:rPr>
          <w:lang w:val="id-ID"/>
        </w:rPr>
      </w:pPr>
      <w:r>
        <w:rPr>
          <w:lang w:val="id-ID"/>
        </w:rPr>
        <w:t xml:space="preserve">Berbeda dengan revivalisme dan fundamentalisme, aliran idealisme yang mengembangkan doktrin tauhid sebagai ideologi terbuka berpandangan bahwa yang harus ditiru dari generasi salaf  adalah sistem mereka yang unggul dalam menyelenggarakan kehidupan dalam segala bidang berdasarkan tauhid. Adapun bentuk kelembagaan untuk melaksanakan sistem itu dapat berkembang sesuai dengan perkembangan sejarah. Hal ini di antaranya disimpulkan dari uraian Ismail Raji al-Faruqi, pendiri mazhab </w:t>
      </w:r>
      <w:r>
        <w:t>The International Institute of Islamic Thought</w:t>
      </w:r>
      <w:r>
        <w:rPr>
          <w:lang w:val="id-ID"/>
        </w:rPr>
        <w:t xml:space="preserve"> </w:t>
      </w:r>
      <w:r>
        <w:rPr>
          <w:lang w:val="id-ID"/>
        </w:rPr>
        <w:lastRenderedPageBreak/>
        <w:t xml:space="preserve">(IIIT), tentang </w:t>
      </w:r>
      <w:r>
        <w:rPr>
          <w:i/>
          <w:iCs/>
          <w:lang w:val="id-ID"/>
        </w:rPr>
        <w:t>khilafah</w:t>
      </w:r>
      <w:r>
        <w:rPr>
          <w:lang w:val="id-ID"/>
        </w:rPr>
        <w:t xml:space="preserve">  yang tetap dipandangnya sebagai sistem politik ideal dalam pengertian pola umum penyelenggaraan negara berdasar tauhid, bukan dalam pengertian sistem penyelenggaraan negara dengan pimpinan seorang khalifah.  Sebagai pola umum,  </w:t>
      </w:r>
      <w:r>
        <w:rPr>
          <w:i/>
          <w:iCs/>
          <w:lang w:val="id-ID"/>
        </w:rPr>
        <w:t>khilafah</w:t>
      </w:r>
      <w:r>
        <w:rPr>
          <w:lang w:val="id-ID"/>
        </w:rPr>
        <w:t xml:space="preserve"> dilaksanakan dengan mewujudkan </w:t>
      </w:r>
      <w:r>
        <w:rPr>
          <w:i/>
          <w:iCs/>
          <w:lang w:val="id-ID"/>
        </w:rPr>
        <w:t>ijma’ ar-ru’ya</w:t>
      </w:r>
      <w:r>
        <w:rPr>
          <w:lang w:val="id-ID"/>
        </w:rPr>
        <w:t xml:space="preserve"> (konsensus visi),</w:t>
      </w:r>
      <w:r>
        <w:rPr>
          <w:i/>
          <w:iCs/>
          <w:lang w:val="id-ID"/>
        </w:rPr>
        <w:t xml:space="preserve"> ijma’ al-iradah </w:t>
      </w:r>
      <w:r>
        <w:rPr>
          <w:lang w:val="id-ID"/>
        </w:rPr>
        <w:t xml:space="preserve">(konsensus agenda) dan </w:t>
      </w:r>
      <w:r>
        <w:rPr>
          <w:i/>
          <w:iCs/>
          <w:lang w:val="id-ID"/>
        </w:rPr>
        <w:t xml:space="preserve">ijma’ al-‘amal </w:t>
      </w:r>
      <w:r>
        <w:rPr>
          <w:lang w:val="id-ID"/>
        </w:rPr>
        <w:t>(konsensus aksi atau program)  dari ummah sebagai entitas politik dalam menyelenggarakan negara yang berkontribusi untuk islamisasi dunia.</w:t>
      </w:r>
      <w:r>
        <w:rPr>
          <w:rStyle w:val="FootnoteReference"/>
          <w:lang w:val="id-ID"/>
        </w:rPr>
        <w:footnoteReference w:id="13"/>
      </w:r>
      <w:r>
        <w:rPr>
          <w:lang w:val="id-ID"/>
        </w:rPr>
        <w:t xml:space="preserve"> </w:t>
      </w:r>
    </w:p>
    <w:p w:rsidR="00571DDB" w:rsidRDefault="00C928D7">
      <w:pPr>
        <w:spacing w:line="360" w:lineRule="auto"/>
        <w:ind w:firstLine="720"/>
        <w:jc w:val="both"/>
        <w:rPr>
          <w:lang w:val="id-ID"/>
        </w:rPr>
      </w:pPr>
      <w:r>
        <w:rPr>
          <w:lang w:val="id-ID"/>
        </w:rPr>
        <w:t>Sebagai ideologi terbuka,  dalam pandangan al-Faruqi, tauhid bukan hanya menjadi inti ajaran dan pengalaman agama, tapi juga merupakan pandangan dunia yang merupakan serangkaian kepercayaan yang menjadi karakteristik umat Islam. Serangkaian kepercayaan itu meliputi dualitas (realitas yang ada  dibagi 2: Tuhan dan bukan Tuhan), idesionalitas  (Tuhan dan kehadirannya dapat dipahami manusia), teleologi (keberadaan alam memiliki tujuan untuk meuwjudkan kehendak Tuhan), kapasitas manusia dan pengelolaan alam, dan peranggungjawaban manusia dan pengadilannya di akhirat.</w:t>
      </w:r>
      <w:r>
        <w:rPr>
          <w:rStyle w:val="FootnoteReference"/>
          <w:lang w:val="id-ID"/>
        </w:rPr>
        <w:footnoteReference w:id="14"/>
      </w:r>
      <w:r>
        <w:rPr>
          <w:lang w:val="id-ID"/>
        </w:rPr>
        <w:t xml:space="preserve">     Tauhid merupakan padangan dunia dan  inti pokok agama Islam  ini  menjadi prinsip  dalam sejarah, ilmu pengetahuan, metafisika, etika, tata sosial, umat, keluarga, tata politik, tata ekonomi, tata dunia dan estetika.</w:t>
      </w:r>
      <w:r>
        <w:rPr>
          <w:rStyle w:val="FootnoteReference"/>
        </w:rPr>
        <w:footnoteReference w:id="15"/>
      </w:r>
      <w:r>
        <w:rPr>
          <w:lang w:val="id-ID"/>
        </w:rPr>
        <w:t xml:space="preserve">  </w:t>
      </w:r>
    </w:p>
    <w:p w:rsidR="00571DDB" w:rsidRDefault="00C928D7">
      <w:pPr>
        <w:spacing w:line="360" w:lineRule="auto"/>
        <w:ind w:firstLine="720"/>
        <w:jc w:val="both"/>
        <w:rPr>
          <w:lang w:val="id-ID"/>
        </w:rPr>
      </w:pPr>
      <w:r>
        <w:rPr>
          <w:lang w:val="id-ID"/>
        </w:rPr>
        <w:t xml:space="preserve">Kemudian akidah sebagai sistem kepercayaan  semi etis menetapkan ajaran-ajaran tentang apa yang wajib dipercayai dan wajib dilakukan oleh Muslim berdasarkan keimanannya untuk mewujudkan keadilan dan kebaikan Allah dalam kehidupan  komunitas yang memiliki identitas yang sama. Akidah ini berkembang dalam mazhab Mu’tazilah yang mengajarkan 5 ajaran dasar  </w:t>
      </w:r>
      <w:r>
        <w:rPr>
          <w:i/>
          <w:iCs/>
          <w:lang w:val="id-ID"/>
        </w:rPr>
        <w:t>(al-ushul a-khamsah)</w:t>
      </w:r>
      <w:r>
        <w:rPr>
          <w:lang w:val="id-ID"/>
        </w:rPr>
        <w:t xml:space="preserve">: </w:t>
      </w:r>
    </w:p>
    <w:p w:rsidR="00571DDB" w:rsidRDefault="00C928D7">
      <w:pPr>
        <w:pStyle w:val="ListParagraph"/>
        <w:numPr>
          <w:ilvl w:val="0"/>
          <w:numId w:val="15"/>
        </w:numPr>
        <w:spacing w:line="360" w:lineRule="auto"/>
        <w:jc w:val="both"/>
      </w:pPr>
      <w:r>
        <w:rPr>
          <w:i/>
          <w:iCs/>
          <w:lang w:val="id-ID"/>
        </w:rPr>
        <w:t>at-tauhid,</w:t>
      </w:r>
      <w:r>
        <w:rPr>
          <w:lang w:val="id-ID"/>
        </w:rPr>
        <w:t xml:space="preserve"> keesaan Allah; </w:t>
      </w:r>
    </w:p>
    <w:p w:rsidR="00571DDB" w:rsidRDefault="00C928D7">
      <w:pPr>
        <w:pStyle w:val="ListParagraph"/>
        <w:numPr>
          <w:ilvl w:val="0"/>
          <w:numId w:val="15"/>
        </w:numPr>
        <w:spacing w:line="360" w:lineRule="auto"/>
        <w:jc w:val="both"/>
        <w:rPr>
          <w:lang w:val="id-ID"/>
        </w:rPr>
      </w:pPr>
      <w:r>
        <w:rPr>
          <w:i/>
          <w:iCs/>
          <w:lang w:val="id-ID"/>
        </w:rPr>
        <w:lastRenderedPageBreak/>
        <w:t>al-‘adl,</w:t>
      </w:r>
      <w:r>
        <w:rPr>
          <w:lang w:val="id-ID"/>
        </w:rPr>
        <w:t xml:space="preserve"> keadilan Allah yang “membuat” segala perbuatan-Nya suci dari kezaliman, memberikan yang baik dan terbaik </w:t>
      </w:r>
      <w:r>
        <w:rPr>
          <w:i/>
          <w:iCs/>
          <w:lang w:val="id-ID"/>
        </w:rPr>
        <w:t>(ash-shalah wa al-ashlah),</w:t>
      </w:r>
      <w:r>
        <w:rPr>
          <w:lang w:val="id-ID"/>
        </w:rPr>
        <w:t xml:space="preserve"> pemberian-Nya menjadi al-luthf (membawa kebaikan dan mencegah keburukan), dan memberika kebebasan kehendak kepada manusia;</w:t>
      </w:r>
    </w:p>
    <w:p w:rsidR="00571DDB" w:rsidRDefault="00C928D7">
      <w:pPr>
        <w:pStyle w:val="ListParagraph"/>
        <w:numPr>
          <w:ilvl w:val="0"/>
          <w:numId w:val="15"/>
        </w:numPr>
        <w:spacing w:line="360" w:lineRule="auto"/>
        <w:jc w:val="both"/>
      </w:pPr>
      <w:r>
        <w:rPr>
          <w:i/>
          <w:iCs/>
          <w:lang w:val="id-ID"/>
        </w:rPr>
        <w:t>al-wa’d wa al-wa’id</w:t>
      </w:r>
      <w:r>
        <w:rPr>
          <w:lang w:val="id-ID"/>
        </w:rPr>
        <w:t xml:space="preserve"> (janji dan ancaman Allah pasti diwujudkan); </w:t>
      </w:r>
    </w:p>
    <w:p w:rsidR="00571DDB" w:rsidRDefault="00C928D7">
      <w:pPr>
        <w:pStyle w:val="ListParagraph"/>
        <w:numPr>
          <w:ilvl w:val="0"/>
          <w:numId w:val="15"/>
        </w:numPr>
        <w:spacing w:line="360" w:lineRule="auto"/>
        <w:jc w:val="both"/>
      </w:pPr>
      <w:r>
        <w:rPr>
          <w:i/>
          <w:iCs/>
          <w:lang w:val="id-ID"/>
        </w:rPr>
        <w:t>al-manzilah bain al-manzilatain,</w:t>
      </w:r>
      <w:r>
        <w:rPr>
          <w:lang w:val="id-ID"/>
        </w:rPr>
        <w:t xml:space="preserve"> Muslim pelaku dosa besar berada di posisi antara iman dan kafir; dan</w:t>
      </w:r>
    </w:p>
    <w:p w:rsidR="00571DDB" w:rsidRDefault="00C928D7">
      <w:pPr>
        <w:pStyle w:val="ListParagraph"/>
        <w:numPr>
          <w:ilvl w:val="0"/>
          <w:numId w:val="15"/>
        </w:numPr>
        <w:spacing w:line="360" w:lineRule="auto"/>
        <w:jc w:val="both"/>
      </w:pPr>
      <w:r>
        <w:rPr>
          <w:i/>
          <w:iCs/>
          <w:lang w:val="id-ID"/>
        </w:rPr>
        <w:t>al-amr bi al-ma’ruf wa an-nahy ‘an al-munkar</w:t>
      </w:r>
      <w:r>
        <w:rPr>
          <w:lang w:val="id-ID"/>
        </w:rPr>
        <w:t xml:space="preserve"> (memerintahkan kebaikan dan melarang kemunkaran).</w:t>
      </w:r>
    </w:p>
    <w:p w:rsidR="00571DDB" w:rsidRDefault="00C928D7">
      <w:pPr>
        <w:spacing w:line="360" w:lineRule="auto"/>
        <w:ind w:firstLine="360"/>
        <w:jc w:val="both"/>
      </w:pPr>
      <w:r>
        <w:rPr>
          <w:lang w:val="id-ID"/>
        </w:rPr>
        <w:t xml:space="preserve">Dalam kaitan dengan tauhid yang menjadi sentral akidah Islam, </w:t>
      </w:r>
      <w:r>
        <w:t xml:space="preserve">kaum Mu’tazilah mempersepsikan tauhid Dzat secara mutlak. Maksudnya Allah itu Maha </w:t>
      </w:r>
      <w:proofErr w:type="gramStart"/>
      <w:r>
        <w:t>Esa  tanpa</w:t>
      </w:r>
      <w:proofErr w:type="gramEnd"/>
      <w:r>
        <w:t xml:space="preserve"> sifat-sifat yang menjadi wujud sendiri yang bukan dzat-Nya. Sebab jika ada wujud sifat yang bukan Dzat-Nya maka berarti ada pluralitas wujud yang </w:t>
      </w:r>
      <w:proofErr w:type="gramStart"/>
      <w:r>
        <w:t xml:space="preserve">kekal  </w:t>
      </w:r>
      <w:r>
        <w:rPr>
          <w:i/>
          <w:iCs/>
        </w:rPr>
        <w:t>(</w:t>
      </w:r>
      <w:proofErr w:type="gramEnd"/>
      <w:r>
        <w:rPr>
          <w:i/>
          <w:iCs/>
        </w:rPr>
        <w:t>ta’addud</w:t>
      </w:r>
      <w:r>
        <w:rPr>
          <w:i/>
          <w:iCs/>
          <w:lang w:val="id-ID"/>
        </w:rPr>
        <w:t xml:space="preserve"> al-</w:t>
      </w:r>
      <w:r>
        <w:rPr>
          <w:i/>
          <w:iCs/>
        </w:rPr>
        <w:t>qudama’),</w:t>
      </w:r>
      <w:r>
        <w:t xml:space="preserve"> sehingga tauhid menjadi tidak murni. </w:t>
      </w:r>
      <w:proofErr w:type="gramStart"/>
      <w:r>
        <w:t>Jadi menurut mazhab itu Allah tidak memiliki sifat yang berwujud sendiri, sifat yang menjadi kualitas yang dimiliki-Nya adalah Dzat-Nya sendiri.</w:t>
      </w:r>
      <w:proofErr w:type="gramEnd"/>
      <w:r>
        <w:t xml:space="preserve"> </w:t>
      </w:r>
      <w:proofErr w:type="gramStart"/>
      <w:r>
        <w:t>Karena itu Dia Maha Mengetahui dan Maha Mendengar, misalnya, tidak dengan sifat mengetahui dan mendengar yang berwujud sendiri selain Dzatnya, tapi dengan Dzat-Nya sendiri yang bisa mengetahui dan mendengar.</w:t>
      </w:r>
      <w:proofErr w:type="gramEnd"/>
      <w:r>
        <w:rPr>
          <w:rStyle w:val="FootnoteReference"/>
        </w:rPr>
        <w:footnoteReference w:id="16"/>
      </w:r>
    </w:p>
    <w:p w:rsidR="00571DDB" w:rsidRDefault="00C928D7">
      <w:pPr>
        <w:spacing w:line="360" w:lineRule="auto"/>
        <w:jc w:val="both"/>
        <w:rPr>
          <w:color w:val="000000"/>
          <w:lang w:val="id-ID"/>
        </w:rPr>
      </w:pPr>
      <w:r>
        <w:rPr>
          <w:lang w:val="id-ID"/>
        </w:rPr>
        <w:tab/>
        <w:t xml:space="preserve">Akidah sebagai sistem kepercayaan  semi etis juga dikembahkan oleh </w:t>
      </w:r>
      <w:r>
        <w:rPr>
          <w:color w:val="000000"/>
          <w:lang w:val="id-ID"/>
        </w:rPr>
        <w:t xml:space="preserve">Ibn Taimiyah, seorang tokoh  aliran kalam Hanabilah. Dalam </w:t>
      </w:r>
      <w:r>
        <w:rPr>
          <w:i/>
          <w:iCs/>
          <w:color w:val="000000"/>
          <w:lang w:val="id-ID"/>
        </w:rPr>
        <w:t xml:space="preserve">al-‘Aqidah al-Wasithiyyah, </w:t>
      </w:r>
      <w:r>
        <w:rPr>
          <w:color w:val="000000"/>
          <w:lang w:val="id-ID"/>
        </w:rPr>
        <w:t xml:space="preserve">dia menyatakan bahwa akidah yang dipaparkannya dalam buku tersebut merupakan  akidah Ahlus Sunnah wal Jama’ah yang ditegaskannya sebagai </w:t>
      </w:r>
      <w:r>
        <w:rPr>
          <w:i/>
          <w:iCs/>
          <w:color w:val="000000"/>
          <w:lang w:val="id-ID"/>
        </w:rPr>
        <w:t>al-firqah an-najiyah al-manshurah ila qiyami as-sa’ah,</w:t>
      </w:r>
      <w:r>
        <w:rPr>
          <w:color w:val="000000"/>
          <w:lang w:val="id-ID"/>
        </w:rPr>
        <w:t xml:space="preserve"> kelompok  yang selamat dan mendapatkan kemenangan sampai terjadinya hari kiamat. Pernyataan ini jelas menunjukkan bahwa akidah harus berfungsi untuk mewujudkan kemenangan komunal yang,  menurutnya,  meliputi 7 ajaran dasar:</w:t>
      </w:r>
    </w:p>
    <w:p w:rsidR="00571DDB" w:rsidRDefault="00C928D7">
      <w:pPr>
        <w:pStyle w:val="ListParagraph"/>
        <w:numPr>
          <w:ilvl w:val="0"/>
          <w:numId w:val="22"/>
        </w:numPr>
        <w:spacing w:line="360" w:lineRule="auto"/>
        <w:jc w:val="both"/>
        <w:rPr>
          <w:color w:val="000000"/>
          <w:lang w:val="id-ID"/>
        </w:rPr>
      </w:pPr>
      <w:r>
        <w:rPr>
          <w:color w:val="000000"/>
          <w:lang w:val="id-ID"/>
        </w:rPr>
        <w:lastRenderedPageBreak/>
        <w:t>Iman kepada Allah, para malaikat, para rasul, kehidupan setelah kematian dan qadar, baik dan buruknya;</w:t>
      </w:r>
    </w:p>
    <w:p w:rsidR="00571DDB" w:rsidRDefault="00C928D7">
      <w:pPr>
        <w:pStyle w:val="ListParagraph"/>
        <w:numPr>
          <w:ilvl w:val="0"/>
          <w:numId w:val="22"/>
        </w:numPr>
        <w:spacing w:line="360" w:lineRule="auto"/>
        <w:jc w:val="both"/>
        <w:rPr>
          <w:color w:val="000000"/>
          <w:lang w:val="id-ID"/>
        </w:rPr>
      </w:pPr>
      <w:r>
        <w:rPr>
          <w:color w:val="000000"/>
          <w:lang w:val="id-ID"/>
        </w:rPr>
        <w:t>Ahlus Sunnah wal Jama’ah merupakan kelompok umat Islam terbaik sebagaimana umat Islam merupakan umat pemeluk agama terbaik;</w:t>
      </w:r>
    </w:p>
    <w:p w:rsidR="00571DDB" w:rsidRDefault="00C928D7">
      <w:pPr>
        <w:pStyle w:val="ListParagraph"/>
        <w:numPr>
          <w:ilvl w:val="0"/>
          <w:numId w:val="22"/>
        </w:numPr>
        <w:spacing w:line="360" w:lineRule="auto"/>
        <w:jc w:val="both"/>
        <w:rPr>
          <w:color w:val="000000"/>
          <w:lang w:val="id-ID"/>
        </w:rPr>
      </w:pPr>
      <w:r>
        <w:rPr>
          <w:color w:val="000000"/>
          <w:lang w:val="id-ID"/>
        </w:rPr>
        <w:t xml:space="preserve">Agama dan iman adalah ucapan dan perbuatan;    </w:t>
      </w:r>
    </w:p>
    <w:p w:rsidR="00571DDB" w:rsidRDefault="00C928D7">
      <w:pPr>
        <w:pStyle w:val="ListParagraph"/>
        <w:numPr>
          <w:ilvl w:val="0"/>
          <w:numId w:val="22"/>
        </w:numPr>
        <w:spacing w:line="360" w:lineRule="auto"/>
        <w:jc w:val="both"/>
        <w:rPr>
          <w:color w:val="000000"/>
          <w:lang w:val="id-ID"/>
        </w:rPr>
      </w:pPr>
      <w:r>
        <w:rPr>
          <w:color w:val="000000"/>
          <w:lang w:val="id-ID"/>
        </w:rPr>
        <w:t xml:space="preserve">Hati dan ucapan tidak mencela para sahabat Nabi; </w:t>
      </w:r>
    </w:p>
    <w:p w:rsidR="00571DDB" w:rsidRDefault="00C928D7">
      <w:pPr>
        <w:pStyle w:val="ListParagraph"/>
        <w:numPr>
          <w:ilvl w:val="0"/>
          <w:numId w:val="22"/>
        </w:numPr>
        <w:spacing w:line="360" w:lineRule="auto"/>
        <w:jc w:val="both"/>
        <w:rPr>
          <w:color w:val="000000"/>
          <w:lang w:val="id-ID"/>
        </w:rPr>
      </w:pPr>
      <w:r>
        <w:rPr>
          <w:color w:val="000000"/>
          <w:lang w:val="id-ID"/>
        </w:rPr>
        <w:t>Mempercayai karamah para wali Allah;</w:t>
      </w:r>
    </w:p>
    <w:p w:rsidR="00571DDB" w:rsidRDefault="00C928D7">
      <w:pPr>
        <w:pStyle w:val="ListParagraph"/>
        <w:numPr>
          <w:ilvl w:val="0"/>
          <w:numId w:val="22"/>
        </w:numPr>
        <w:spacing w:line="360" w:lineRule="auto"/>
        <w:jc w:val="both"/>
        <w:rPr>
          <w:color w:val="000000"/>
          <w:lang w:val="id-ID"/>
        </w:rPr>
      </w:pPr>
      <w:r>
        <w:rPr>
          <w:i/>
          <w:iCs/>
          <w:color w:val="000000"/>
          <w:lang w:val="id-ID"/>
        </w:rPr>
        <w:t>Thariqah</w:t>
      </w:r>
      <w:r>
        <w:rPr>
          <w:color w:val="000000"/>
          <w:lang w:val="id-ID"/>
        </w:rPr>
        <w:t xml:space="preserve"> Ahlus Sunnah wal Jama’ah adalah mengikuti sunnah Nabi baik lahir maupun batin, dan mengikuti jalan yang ditempuh sahabat Muhajirin dan Anshar yang masuk Islam pada awal perkembangannya; dan </w:t>
      </w:r>
    </w:p>
    <w:p w:rsidR="00571DDB" w:rsidRDefault="00C928D7">
      <w:pPr>
        <w:pStyle w:val="ListParagraph"/>
        <w:numPr>
          <w:ilvl w:val="0"/>
          <w:numId w:val="22"/>
        </w:numPr>
        <w:spacing w:line="360" w:lineRule="auto"/>
        <w:jc w:val="both"/>
        <w:rPr>
          <w:color w:val="000000"/>
          <w:lang w:val="id-ID"/>
        </w:rPr>
      </w:pPr>
      <w:r>
        <w:rPr>
          <w:color w:val="000000"/>
          <w:lang w:val="id-ID"/>
        </w:rPr>
        <w:t>Amar ma’ruf nahi munkar.</w:t>
      </w:r>
      <w:r>
        <w:rPr>
          <w:rStyle w:val="FootnoteReference"/>
          <w:color w:val="000000"/>
          <w:lang w:val="id-ID"/>
        </w:rPr>
        <w:footnoteReference w:id="17"/>
      </w:r>
    </w:p>
    <w:p w:rsidR="00571DDB" w:rsidRDefault="00C928D7">
      <w:pPr>
        <w:spacing w:line="360" w:lineRule="auto"/>
        <w:ind w:firstLine="360"/>
        <w:jc w:val="both"/>
        <w:rPr>
          <w:lang w:val="id-ID"/>
        </w:rPr>
      </w:pPr>
      <w:r>
        <w:rPr>
          <w:color w:val="000000"/>
          <w:lang w:val="id-ID"/>
        </w:rPr>
        <w:t xml:space="preserve">Keadilan dan kemaslahatan, juga kemenangan, merupakan sesuatu yang sangat penting dalam kehidupan pribadi dan kelompok sehingga wajar jika kaum Mu’tazilah dan Ibnu Taimiyah merumuskan doktrin akidah tauhid yang dapat  menjadi landasan untuk mewujudkannya. Namun jika kebaikan itu hanya untuk komunitas yang memiliki identitas yang sama semata, tentu tidak sesuai dengan tujuan  risalah Islam sebagai rahmat bagi seluruh alam. Karena itu di zaman reformasi Islam berkembang pemikiran tauhid sebagai sistem kepercayaan etis yang </w:t>
      </w:r>
      <w:r>
        <w:rPr>
          <w:lang w:val="id-ID"/>
        </w:rPr>
        <w:t>menetapkan ajaran-ajaran tentang apa yang wajib dipercayai dan wajib dilakukan oleh Muslim berdasarkan keimanannya untuk mewujudkan  kebahagiaan dan keadilan bagi semua. Akidah ini berkembang dalam aliran modernisme dan neo-modernisme Islam.</w:t>
      </w:r>
    </w:p>
    <w:p w:rsidR="00571DDB" w:rsidRDefault="00C928D7">
      <w:pPr>
        <w:spacing w:line="360" w:lineRule="auto"/>
        <w:ind w:firstLine="360"/>
        <w:jc w:val="both"/>
        <w:rPr>
          <w:color w:val="000000"/>
          <w:lang w:val="id-ID"/>
        </w:rPr>
      </w:pPr>
      <w:r>
        <w:rPr>
          <w:color w:val="000000"/>
          <w:lang w:val="id-ID"/>
        </w:rPr>
        <w:t>Muhammad Abduh, pendiri aliran modernisme Islam, merumuskan doktrin akidah tauhid yang dapat menjadi landasan untuk mewujudkan kebahagiaan, yang untuk terwujudnya sudah barangtentu harus dengan kemaslahatan dan  kemenangan. Akidah itu meliputi 5 ajaran dasar:</w:t>
      </w:r>
    </w:p>
    <w:p w:rsidR="00571DDB" w:rsidRDefault="00C928D7">
      <w:pPr>
        <w:pStyle w:val="ListParagraph"/>
        <w:numPr>
          <w:ilvl w:val="0"/>
          <w:numId w:val="13"/>
        </w:numPr>
        <w:spacing w:line="360" w:lineRule="auto"/>
        <w:jc w:val="both"/>
        <w:rPr>
          <w:color w:val="000000"/>
          <w:lang w:val="id-ID"/>
        </w:rPr>
      </w:pPr>
      <w:r>
        <w:rPr>
          <w:color w:val="000000"/>
          <w:lang w:val="id-ID"/>
        </w:rPr>
        <w:t xml:space="preserve">Ketuhanan. Allah sebagai dzat yang wajib wujud memiliki sifat-sifat wajib bagi Dzat-Nya: </w:t>
      </w:r>
      <w:r>
        <w:rPr>
          <w:i/>
          <w:iCs/>
          <w:color w:val="000000"/>
          <w:lang w:val="id-ID"/>
        </w:rPr>
        <w:t>qidam</w:t>
      </w:r>
      <w:r>
        <w:rPr>
          <w:color w:val="000000"/>
          <w:lang w:val="id-ID"/>
        </w:rPr>
        <w:t xml:space="preserve"> (ada-Nya tidak berawal),</w:t>
      </w:r>
      <w:r>
        <w:rPr>
          <w:i/>
          <w:iCs/>
          <w:color w:val="000000"/>
          <w:lang w:val="id-ID"/>
        </w:rPr>
        <w:t xml:space="preserve"> baqa’ </w:t>
      </w:r>
      <w:r>
        <w:rPr>
          <w:color w:val="000000"/>
          <w:lang w:val="id-ID"/>
        </w:rPr>
        <w:t xml:space="preserve">(kekal), tidak terdiri </w:t>
      </w:r>
      <w:r>
        <w:rPr>
          <w:color w:val="000000"/>
          <w:lang w:val="id-ID"/>
        </w:rPr>
        <w:lastRenderedPageBreak/>
        <w:t xml:space="preserve">dari susunan, hidup, ilmu, berkehendak, merdeka, esa dan berbicara. Kemudian perbuatan-perbuatan-Nya memiliki kualitas </w:t>
      </w:r>
      <w:r>
        <w:rPr>
          <w:i/>
          <w:iCs/>
          <w:color w:val="000000"/>
          <w:lang w:val="id-ID"/>
        </w:rPr>
        <w:t>hikmah</w:t>
      </w:r>
      <w:r>
        <w:rPr>
          <w:color w:val="000000"/>
          <w:lang w:val="id-ID"/>
        </w:rPr>
        <w:t>, sempurna, ada tujuan, teratur (menjaga keteraturan) dan membangun (mencegah kerusakan).</w:t>
      </w:r>
      <w:r>
        <w:rPr>
          <w:rStyle w:val="FootnoteReference"/>
          <w:color w:val="000000"/>
          <w:lang w:val="id-ID"/>
        </w:rPr>
        <w:footnoteReference w:id="18"/>
      </w:r>
    </w:p>
    <w:p w:rsidR="00571DDB" w:rsidRDefault="00C928D7">
      <w:pPr>
        <w:pStyle w:val="ListParagraph"/>
        <w:numPr>
          <w:ilvl w:val="0"/>
          <w:numId w:val="13"/>
        </w:numPr>
        <w:spacing w:line="360" w:lineRule="auto"/>
        <w:jc w:val="both"/>
        <w:rPr>
          <w:color w:val="000000"/>
          <w:lang w:val="id-ID"/>
        </w:rPr>
      </w:pPr>
      <w:r>
        <w:rPr>
          <w:color w:val="000000"/>
          <w:lang w:val="id-ID"/>
        </w:rPr>
        <w:t>Kehambaan. Manusia memiliki 3 kekuatan yang tidak dimiliki makhluk hidup lain: ingatan, imaginasi dan pikiran. Dengan 3 kekuatan itu manusia memiliki kebebasan berkehendak dan kemampuan mengetahui kebaikan dan keburukan.</w:t>
      </w:r>
      <w:r>
        <w:rPr>
          <w:rStyle w:val="FootnoteReference"/>
          <w:color w:val="000000"/>
          <w:lang w:val="id-ID"/>
        </w:rPr>
        <w:footnoteReference w:id="19"/>
      </w:r>
    </w:p>
    <w:p w:rsidR="00571DDB" w:rsidRDefault="00C928D7">
      <w:pPr>
        <w:pStyle w:val="ListParagraph"/>
        <w:numPr>
          <w:ilvl w:val="0"/>
          <w:numId w:val="13"/>
        </w:numPr>
        <w:spacing w:line="360" w:lineRule="auto"/>
        <w:jc w:val="both"/>
        <w:rPr>
          <w:color w:val="000000"/>
          <w:lang w:val="id-ID"/>
        </w:rPr>
      </w:pPr>
      <w:r>
        <w:rPr>
          <w:color w:val="000000"/>
          <w:lang w:val="id-ID"/>
        </w:rPr>
        <w:t>Kerasulan umum. Para rasul diutus Allah untuk menyampaikan kepercayaan dan aturan-aturan yang dibutuhkan  manusia sesuai dengan kebutuhan hidup dan penjagaan eksistensi mereka sebagai spesies yang mulia. Karena itu kepercayaan dan aturan-aturan tersebut diwahyukan sesuai dengan tingkat peradaban mereka.</w:t>
      </w:r>
      <w:r>
        <w:rPr>
          <w:rStyle w:val="FootnoteReference"/>
          <w:color w:val="000000"/>
          <w:lang w:val="id-ID"/>
        </w:rPr>
        <w:footnoteReference w:id="20"/>
      </w:r>
    </w:p>
    <w:p w:rsidR="00571DDB" w:rsidRDefault="00C928D7">
      <w:pPr>
        <w:pStyle w:val="ListParagraph"/>
        <w:numPr>
          <w:ilvl w:val="0"/>
          <w:numId w:val="13"/>
        </w:numPr>
        <w:spacing w:line="360" w:lineRule="auto"/>
        <w:jc w:val="both"/>
        <w:rPr>
          <w:color w:val="000000"/>
          <w:lang w:val="id-ID"/>
        </w:rPr>
      </w:pPr>
      <w:r>
        <w:rPr>
          <w:color w:val="000000"/>
          <w:lang w:val="id-ID"/>
        </w:rPr>
        <w:t>Kerasulan Nabi Muhammad SAW. Nabi Muhammad diutus sebagai rasul terakhir yang mendapatkan wahyu kitab suci al-Qur’an dan memberi bimbingan   kepada bangsa manusia yang telah dewasa peradaban berfikirnya supaya mereka menempuh jalan yang telah ditetapkan Allah untuk mencapai kesempurnaan peradaban  sebagai makhluk berakal dan kebahagiaan di dunia dan akhirat.</w:t>
      </w:r>
      <w:r>
        <w:rPr>
          <w:rStyle w:val="FootnoteReference"/>
          <w:color w:val="000000"/>
          <w:lang w:val="id-ID"/>
        </w:rPr>
        <w:footnoteReference w:id="21"/>
      </w:r>
    </w:p>
    <w:p w:rsidR="00571DDB" w:rsidRDefault="00C928D7">
      <w:pPr>
        <w:pStyle w:val="ListParagraph"/>
        <w:numPr>
          <w:ilvl w:val="0"/>
          <w:numId w:val="13"/>
        </w:numPr>
        <w:spacing w:line="360" w:lineRule="auto"/>
        <w:jc w:val="both"/>
        <w:rPr>
          <w:color w:val="000000"/>
          <w:lang w:val="id-ID"/>
        </w:rPr>
      </w:pPr>
      <w:r>
        <w:rPr>
          <w:color w:val="000000"/>
          <w:lang w:val="id-ID"/>
        </w:rPr>
        <w:t>Agama Islam. Islam yang didakwahkan Nabi Muhammad mengajarkan tauhid dengan kekayaan spiritualitasnya, kebebasan berfikir, menyingkirkan taklid,  pemahaman yang rasional terhadap alam, mendorong aksi yang berguna untuk mewujudkan kemaslahatan umum dan khusus, mempromosikan persamaan derajat manusia, pengembangan ilmu, amar ma’ruf nahi munkar, keberpihakan kepada orang-orang lemah-</w:t>
      </w:r>
      <w:r>
        <w:rPr>
          <w:color w:val="000000"/>
          <w:lang w:val="id-ID"/>
        </w:rPr>
        <w:lastRenderedPageBreak/>
        <w:t>miskin, melarang semua yang menimbulkan kerusakan akal dan harta, dan pengembangan akhlak utama.</w:t>
      </w:r>
      <w:r>
        <w:rPr>
          <w:rStyle w:val="FootnoteReference"/>
          <w:color w:val="000000"/>
          <w:lang w:val="id-ID"/>
        </w:rPr>
        <w:footnoteReference w:id="22"/>
      </w:r>
      <w:r>
        <w:rPr>
          <w:color w:val="000000"/>
          <w:lang w:val="id-ID"/>
        </w:rPr>
        <w:t xml:space="preserve"> </w:t>
      </w:r>
    </w:p>
    <w:p w:rsidR="00571DDB" w:rsidRDefault="00C928D7">
      <w:pPr>
        <w:spacing w:line="360" w:lineRule="auto"/>
        <w:ind w:firstLine="720"/>
        <w:jc w:val="both"/>
        <w:rPr>
          <w:lang w:val="id-ID"/>
        </w:rPr>
      </w:pPr>
      <w:r>
        <w:rPr>
          <w:lang w:val="id-ID"/>
        </w:rPr>
        <w:t xml:space="preserve">Kemudian Fazlur Rahman, pendiri aliran Neo-modernisme Islam, berpandangan bahwa kebahagiaan ,  kemaslahatan dan kemenangan manusia yang sejati hanya dapat diwujudkan dengan   kondisi syarat dan sistem-struktur sosial tertentu. Kondisi syarat itu, menurutnya,  adalah keadilan sosial dan sistem-struktur sosialnya adalah sistem-struktur sosial masyarakat egaliter-majmuk. Pandangan ini dikemukakan berdasarkan pemahaman bahwa elan vital ajaran al-Qur’an dalam kepercayaan adalah tauhid dan dalam kehidupan manusia adalah keadilan sosial. Karena itu dia merumuskan doktrin akidah tauhid meliputi 8 ajaran dasar: </w:t>
      </w:r>
    </w:p>
    <w:p w:rsidR="00571DDB" w:rsidRDefault="00C928D7">
      <w:pPr>
        <w:pStyle w:val="ListParagraph"/>
        <w:numPr>
          <w:ilvl w:val="0"/>
          <w:numId w:val="16"/>
        </w:numPr>
        <w:spacing w:line="360" w:lineRule="auto"/>
        <w:jc w:val="both"/>
        <w:rPr>
          <w:lang w:val="id-ID"/>
        </w:rPr>
      </w:pPr>
      <w:r>
        <w:rPr>
          <w:color w:val="000000"/>
          <w:lang w:val="id-ID"/>
        </w:rPr>
        <w:t>Tuhan. Allah Yang Maha Esa hadir secara fungsional dengan semua yang ada tergantung kepada-Nya; Dia dengan keagungan-Nya Maha Rahman; dan hubungan manusia dengan Allah ditransformsikan ke dalam hubungan manusia dengan manusia;</w:t>
      </w:r>
    </w:p>
    <w:p w:rsidR="00571DDB" w:rsidRDefault="00C928D7">
      <w:pPr>
        <w:pStyle w:val="ListParagraph"/>
        <w:numPr>
          <w:ilvl w:val="0"/>
          <w:numId w:val="16"/>
        </w:numPr>
        <w:spacing w:line="360" w:lineRule="auto"/>
        <w:jc w:val="both"/>
        <w:rPr>
          <w:lang w:val="id-ID"/>
        </w:rPr>
      </w:pPr>
      <w:r>
        <w:rPr>
          <w:color w:val="000000"/>
          <w:lang w:val="id-ID"/>
        </w:rPr>
        <w:t xml:space="preserve">Manusia sebagai individu; </w:t>
      </w:r>
    </w:p>
    <w:p w:rsidR="00571DDB" w:rsidRDefault="00C928D7">
      <w:pPr>
        <w:pStyle w:val="ListParagraph"/>
        <w:numPr>
          <w:ilvl w:val="0"/>
          <w:numId w:val="16"/>
        </w:numPr>
        <w:spacing w:line="360" w:lineRule="auto"/>
        <w:jc w:val="both"/>
        <w:rPr>
          <w:lang w:val="id-ID"/>
        </w:rPr>
      </w:pPr>
      <w:r>
        <w:rPr>
          <w:color w:val="000000"/>
          <w:lang w:val="id-ID"/>
        </w:rPr>
        <w:t>Manusia sebagai anggota masyarakat;</w:t>
      </w:r>
    </w:p>
    <w:p w:rsidR="00571DDB" w:rsidRDefault="00C928D7">
      <w:pPr>
        <w:pStyle w:val="ListParagraph"/>
        <w:numPr>
          <w:ilvl w:val="0"/>
          <w:numId w:val="16"/>
        </w:numPr>
        <w:spacing w:line="360" w:lineRule="auto"/>
        <w:jc w:val="both"/>
        <w:rPr>
          <w:lang w:val="id-ID"/>
        </w:rPr>
      </w:pPr>
      <w:r>
        <w:rPr>
          <w:color w:val="000000"/>
          <w:lang w:val="id-ID"/>
        </w:rPr>
        <w:t xml:space="preserve">Alam semesta; </w:t>
      </w:r>
    </w:p>
    <w:p w:rsidR="00571DDB" w:rsidRDefault="00C928D7">
      <w:pPr>
        <w:pStyle w:val="ListParagraph"/>
        <w:numPr>
          <w:ilvl w:val="0"/>
          <w:numId w:val="16"/>
        </w:numPr>
        <w:spacing w:line="360" w:lineRule="auto"/>
        <w:jc w:val="both"/>
        <w:rPr>
          <w:lang w:val="id-ID"/>
        </w:rPr>
      </w:pPr>
      <w:r>
        <w:rPr>
          <w:color w:val="000000"/>
          <w:lang w:val="id-ID"/>
        </w:rPr>
        <w:t xml:space="preserve">Kenabian dan wahyu; </w:t>
      </w:r>
    </w:p>
    <w:p w:rsidR="00571DDB" w:rsidRDefault="00C928D7">
      <w:pPr>
        <w:pStyle w:val="ListParagraph"/>
        <w:numPr>
          <w:ilvl w:val="0"/>
          <w:numId w:val="16"/>
        </w:numPr>
        <w:spacing w:line="360" w:lineRule="auto"/>
        <w:jc w:val="both"/>
        <w:rPr>
          <w:lang w:val="id-ID"/>
        </w:rPr>
      </w:pPr>
      <w:r>
        <w:rPr>
          <w:color w:val="000000"/>
          <w:lang w:val="id-ID"/>
        </w:rPr>
        <w:t xml:space="preserve">Eskatologi; </w:t>
      </w:r>
    </w:p>
    <w:p w:rsidR="00571DDB" w:rsidRDefault="00C928D7">
      <w:pPr>
        <w:pStyle w:val="ListParagraph"/>
        <w:numPr>
          <w:ilvl w:val="0"/>
          <w:numId w:val="16"/>
        </w:numPr>
        <w:spacing w:line="360" w:lineRule="auto"/>
        <w:jc w:val="both"/>
        <w:rPr>
          <w:lang w:val="id-ID"/>
        </w:rPr>
      </w:pPr>
      <w:r>
        <w:rPr>
          <w:color w:val="000000"/>
          <w:lang w:val="id-ID"/>
        </w:rPr>
        <w:t xml:space="preserve">Setan dan kejahatan;  </w:t>
      </w:r>
    </w:p>
    <w:p w:rsidR="00571DDB" w:rsidRDefault="00C928D7">
      <w:pPr>
        <w:pStyle w:val="ListParagraph"/>
        <w:numPr>
          <w:ilvl w:val="0"/>
          <w:numId w:val="16"/>
        </w:numPr>
        <w:spacing w:line="360" w:lineRule="auto"/>
        <w:jc w:val="both"/>
        <w:rPr>
          <w:lang w:val="id-ID"/>
        </w:rPr>
      </w:pPr>
      <w:r>
        <w:rPr>
          <w:color w:val="000000"/>
          <w:lang w:val="id-ID"/>
        </w:rPr>
        <w:t>Masyarakat Muslim.</w:t>
      </w:r>
      <w:r>
        <w:rPr>
          <w:rStyle w:val="FootnoteReference"/>
          <w:color w:val="000000"/>
        </w:rPr>
        <w:footnoteReference w:id="23"/>
      </w:r>
    </w:p>
    <w:p w:rsidR="00571DDB" w:rsidRDefault="00571DDB">
      <w:pPr>
        <w:rPr>
          <w:lang w:val="id-ID"/>
        </w:rPr>
      </w:pPr>
    </w:p>
    <w:sectPr w:rsidR="00571DDB" w:rsidSect="00FB0F9D">
      <w:headerReference w:type="even" r:id="rId8"/>
      <w:headerReference w:type="default" r:id="rId9"/>
      <w:footerReference w:type="even" r:id="rId10"/>
      <w:footerReference w:type="default" r:id="rId11"/>
      <w:headerReference w:type="first" r:id="rId12"/>
      <w:pgSz w:w="11907" w:h="16839" w:code="9"/>
      <w:pgMar w:top="2268" w:right="1701" w:bottom="2268"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937" w:rsidRDefault="001E7937">
      <w:r>
        <w:separator/>
      </w:r>
    </w:p>
  </w:endnote>
  <w:endnote w:type="continuationSeparator" w:id="0">
    <w:p w:rsidR="001E7937" w:rsidRDefault="001E7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DDB" w:rsidRDefault="00571D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DDB" w:rsidRDefault="00571D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937" w:rsidRDefault="001E7937">
      <w:r>
        <w:separator/>
      </w:r>
    </w:p>
  </w:footnote>
  <w:footnote w:type="continuationSeparator" w:id="0">
    <w:p w:rsidR="001E7937" w:rsidRDefault="001E7937">
      <w:r>
        <w:continuationSeparator/>
      </w:r>
    </w:p>
  </w:footnote>
  <w:footnote w:id="1">
    <w:p w:rsidR="00571DDB" w:rsidRDefault="00C928D7">
      <w:pPr>
        <w:pStyle w:val="FootnoteText"/>
        <w:ind w:firstLine="567"/>
        <w:jc w:val="both"/>
        <w:rPr>
          <w:lang w:val="id-ID"/>
        </w:rPr>
      </w:pPr>
      <w:r>
        <w:rPr>
          <w:rStyle w:val="FootnoteReference"/>
        </w:rPr>
        <w:footnoteRef/>
      </w:r>
      <w:r>
        <w:rPr>
          <w:lang w:val="id-ID"/>
        </w:rPr>
        <w:t xml:space="preserve"> Lihat asy-Syaikh Ibrahim al-Baijuri, </w:t>
      </w:r>
      <w:r>
        <w:rPr>
          <w:i/>
          <w:iCs/>
          <w:lang w:val="id-ID"/>
        </w:rPr>
        <w:t>Tahqiq al-Maqam ‘ala Kifayah al-‘Awam fi ‘Ilm al-Kalam</w:t>
      </w:r>
      <w:r>
        <w:rPr>
          <w:lang w:val="id-ID"/>
        </w:rPr>
        <w:t xml:space="preserve"> (Jakarta: Dar al-Kutub al-Islamiyah, 2010) dan asy-Syaikh Muhammad bin Ahmad bin ‘Arafah ad-Dasuqi, </w:t>
      </w:r>
      <w:r>
        <w:rPr>
          <w:i/>
          <w:iCs/>
          <w:lang w:val="id-ID"/>
        </w:rPr>
        <w:t>Hasyiyah ad-Dasuqi ‘ala Umm al-Barahin (</w:t>
      </w:r>
      <w:r>
        <w:rPr>
          <w:lang w:val="id-ID"/>
        </w:rPr>
        <w:t xml:space="preserve">Beirut: Dar al-Kitab al-‘Ilmiyah, t.t.). </w:t>
      </w:r>
    </w:p>
  </w:footnote>
  <w:footnote w:id="2">
    <w:p w:rsidR="00571DDB" w:rsidRDefault="00C928D7">
      <w:pPr>
        <w:pStyle w:val="FootnoteText"/>
        <w:spacing w:before="120"/>
        <w:ind w:firstLine="567"/>
      </w:pPr>
      <w:r>
        <w:rPr>
          <w:rStyle w:val="FootnoteReference"/>
        </w:rPr>
        <w:footnoteRef/>
      </w:r>
      <w:r>
        <w:t xml:space="preserve"> </w:t>
      </w:r>
      <w:proofErr w:type="gramStart"/>
      <w:r>
        <w:rPr>
          <w:i/>
          <w:iCs/>
        </w:rPr>
        <w:t>Ibid.</w:t>
      </w:r>
      <w:r>
        <w:t>,</w:t>
      </w:r>
      <w:proofErr w:type="gramEnd"/>
      <w:r>
        <w:t xml:space="preserve"> hlm. 136.</w:t>
      </w:r>
    </w:p>
  </w:footnote>
  <w:footnote w:id="3">
    <w:p w:rsidR="00571DDB" w:rsidRDefault="00C928D7">
      <w:pPr>
        <w:pStyle w:val="FootnoteText"/>
        <w:ind w:firstLine="567"/>
        <w:rPr>
          <w:lang w:val="id-ID"/>
        </w:rPr>
      </w:pPr>
      <w:r>
        <w:rPr>
          <w:rStyle w:val="FootnoteReference"/>
        </w:rPr>
        <w:footnoteRef/>
      </w:r>
      <w:r>
        <w:t xml:space="preserve"> Muhammad bin Shalih al-‘Utsaimin, </w:t>
      </w:r>
      <w:r>
        <w:rPr>
          <w:i/>
          <w:iCs/>
        </w:rPr>
        <w:t>Syarh Tsalatsah al-Ushul</w:t>
      </w:r>
      <w:r>
        <w:t xml:space="preserve"> (Beirut: dar al-Kutub al-‘Ilmiyah, 2006), hlm.</w:t>
      </w:r>
      <w:r>
        <w:rPr>
          <w:lang w:val="id-ID"/>
        </w:rPr>
        <w:t xml:space="preserve"> </w:t>
      </w:r>
      <w:r>
        <w:rPr>
          <w:lang w:val="id-ID"/>
        </w:rPr>
        <w:t>24-97.</w:t>
      </w:r>
    </w:p>
  </w:footnote>
  <w:footnote w:id="4">
    <w:p w:rsidR="00571DDB" w:rsidRDefault="00C928D7">
      <w:pPr>
        <w:pStyle w:val="FootnoteText"/>
        <w:ind w:firstLine="567"/>
        <w:rPr>
          <w:lang w:val="id-ID"/>
        </w:rPr>
      </w:pPr>
      <w:r>
        <w:rPr>
          <w:rStyle w:val="FootnoteReference"/>
        </w:rPr>
        <w:footnoteRef/>
      </w:r>
      <w:r>
        <w:t xml:space="preserve"> </w:t>
      </w:r>
      <w:r>
        <w:rPr>
          <w:lang w:val="id-ID"/>
        </w:rPr>
        <w:t xml:space="preserve">Kamil asy-Syarif, </w:t>
      </w:r>
      <w:r>
        <w:rPr>
          <w:i/>
          <w:iCs/>
          <w:lang w:val="id-ID"/>
        </w:rPr>
        <w:t xml:space="preserve">al-‘Aqidah al-Islamiyah wa Ma’rakah at-Tahrir </w:t>
      </w:r>
      <w:r>
        <w:rPr>
          <w:lang w:val="id-ID"/>
        </w:rPr>
        <w:t>(Beirut: Dar al-Kitab al-Jadid, 1970), hlm. 36.</w:t>
      </w:r>
    </w:p>
  </w:footnote>
  <w:footnote w:id="5">
    <w:p w:rsidR="00571DDB" w:rsidRDefault="00C928D7">
      <w:pPr>
        <w:pStyle w:val="FootnoteText"/>
        <w:ind w:firstLine="567"/>
        <w:rPr>
          <w:lang w:val="id-ID"/>
        </w:rPr>
      </w:pPr>
      <w:r>
        <w:rPr>
          <w:rStyle w:val="FootnoteReference"/>
        </w:rPr>
        <w:footnoteRef/>
      </w:r>
      <w:r>
        <w:rPr>
          <w:i/>
          <w:iCs/>
          <w:lang w:val="id-ID"/>
        </w:rPr>
        <w:t>Ibid.,</w:t>
      </w:r>
      <w:r>
        <w:rPr>
          <w:lang w:val="id-ID"/>
        </w:rPr>
        <w:t xml:space="preserve"> hlm. 41-67.  </w:t>
      </w:r>
    </w:p>
  </w:footnote>
  <w:footnote w:id="6">
    <w:p w:rsidR="00571DDB" w:rsidRDefault="00C928D7">
      <w:pPr>
        <w:pStyle w:val="FootnoteText"/>
        <w:ind w:firstLine="567"/>
        <w:rPr>
          <w:lang w:val="id-ID"/>
        </w:rPr>
      </w:pPr>
      <w:r>
        <w:rPr>
          <w:rStyle w:val="FootnoteReference"/>
        </w:rPr>
        <w:footnoteRef/>
      </w:r>
      <w:r>
        <w:rPr>
          <w:lang w:val="id-ID"/>
        </w:rPr>
        <w:t xml:space="preserve"> </w:t>
      </w:r>
      <w:r>
        <w:rPr>
          <w:lang w:val="id-ID"/>
        </w:rPr>
        <w:t xml:space="preserve">Ibn Taymiah, </w:t>
      </w:r>
      <w:r>
        <w:rPr>
          <w:i/>
          <w:iCs/>
          <w:lang w:val="id-ID"/>
        </w:rPr>
        <w:t>Iqtidla’ ash-Shirath al-Mustaqim  li Mukhalafati Ashhab al-Jahim</w:t>
      </w:r>
      <w:r>
        <w:rPr>
          <w:lang w:val="id-ID"/>
        </w:rPr>
        <w:t xml:space="preserve"> (Kairo: Maktabah ash-Shafa, 2005), hlm. 362-363. </w:t>
      </w:r>
    </w:p>
  </w:footnote>
  <w:footnote w:id="7">
    <w:p w:rsidR="00571DDB" w:rsidRDefault="00C928D7">
      <w:pPr>
        <w:pStyle w:val="FootnoteText"/>
        <w:ind w:firstLine="567"/>
        <w:rPr>
          <w:lang w:val="id-ID"/>
        </w:rPr>
      </w:pPr>
      <w:r>
        <w:rPr>
          <w:rStyle w:val="FootnoteReference"/>
        </w:rPr>
        <w:footnoteRef/>
      </w:r>
      <w:r>
        <w:rPr>
          <w:lang w:val="id-ID"/>
        </w:rPr>
        <w:t xml:space="preserve"> </w:t>
      </w:r>
      <w:r>
        <w:rPr>
          <w:lang w:val="id-ID"/>
        </w:rPr>
        <w:t xml:space="preserve">Ibn Qayyhim al-Jauziyah, </w:t>
      </w:r>
      <w:r>
        <w:rPr>
          <w:i/>
          <w:iCs/>
          <w:lang w:val="id-ID"/>
        </w:rPr>
        <w:t xml:space="preserve">Madarik as-Salikin bain Manazil Iyyaka Na’bud wa Iyyaka Nasta’in </w:t>
      </w:r>
      <w:r>
        <w:rPr>
          <w:lang w:val="id-ID"/>
        </w:rPr>
        <w:t>(Beirut: Dar al-Kutub al-‘Ilmiyah, 2004), hlm. 21-23.</w:t>
      </w:r>
    </w:p>
  </w:footnote>
  <w:footnote w:id="8">
    <w:p w:rsidR="00571DDB" w:rsidRDefault="00C928D7">
      <w:pPr>
        <w:pStyle w:val="FootnoteText"/>
        <w:spacing w:before="120"/>
        <w:ind w:firstLine="567"/>
        <w:jc w:val="both"/>
        <w:rPr>
          <w:lang w:val="id-ID"/>
        </w:rPr>
      </w:pPr>
      <w:r>
        <w:rPr>
          <w:rStyle w:val="FootnoteReference"/>
        </w:rPr>
        <w:footnoteRef/>
      </w:r>
      <w:r>
        <w:rPr>
          <w:lang w:val="id-ID"/>
        </w:rPr>
        <w:t xml:space="preserve"> </w:t>
      </w:r>
      <w:r>
        <w:rPr>
          <w:lang w:val="id-ID"/>
        </w:rPr>
        <w:t xml:space="preserve">Ibid., hlm. 25. Lihat juga Muhammad bin Shalih al-‘Utsaimin, </w:t>
      </w:r>
      <w:r>
        <w:rPr>
          <w:i/>
          <w:iCs/>
          <w:lang w:val="id-ID"/>
        </w:rPr>
        <w:t>Syarh al-‘Aqidiah al-Wasithiyyah,</w:t>
      </w:r>
      <w:r>
        <w:rPr>
          <w:lang w:val="id-ID"/>
        </w:rPr>
        <w:t xml:space="preserve"> hlm. 36.</w:t>
      </w:r>
    </w:p>
  </w:footnote>
  <w:footnote w:id="9">
    <w:p w:rsidR="00571DDB" w:rsidRDefault="00C928D7">
      <w:pPr>
        <w:pStyle w:val="FootnoteText"/>
        <w:ind w:firstLine="567"/>
        <w:jc w:val="both"/>
        <w:rPr>
          <w:lang w:val="id-ID"/>
        </w:rPr>
      </w:pPr>
      <w:r>
        <w:rPr>
          <w:rStyle w:val="FootnoteReference"/>
        </w:rPr>
        <w:footnoteRef/>
      </w:r>
      <w:r>
        <w:t xml:space="preserve"> </w:t>
      </w:r>
      <w:r>
        <w:rPr>
          <w:lang w:val="id-ID"/>
        </w:rPr>
        <w:t>Muhammad Hassan,</w:t>
      </w:r>
      <w:r>
        <w:rPr>
          <w:i/>
          <w:iCs/>
          <w:lang w:val="id-ID"/>
        </w:rPr>
        <w:t xml:space="preserve"> Haqiqah at-Tauhid</w:t>
      </w:r>
      <w:r>
        <w:rPr>
          <w:lang w:val="id-ID"/>
        </w:rPr>
        <w:t xml:space="preserve"> (al-Manshurah: Maktabah Fayyadl, 2006).</w:t>
      </w:r>
    </w:p>
  </w:footnote>
  <w:footnote w:id="10">
    <w:p w:rsidR="00571DDB" w:rsidRDefault="00C928D7">
      <w:pPr>
        <w:pStyle w:val="FootnoteText"/>
        <w:ind w:firstLine="567"/>
        <w:jc w:val="both"/>
        <w:rPr>
          <w:lang w:val="id-ID"/>
        </w:rPr>
      </w:pPr>
      <w:r>
        <w:rPr>
          <w:rStyle w:val="FootnoteReference"/>
        </w:rPr>
        <w:footnoteRef/>
      </w:r>
      <w:r>
        <w:t xml:space="preserve"> </w:t>
      </w:r>
      <w:r>
        <w:rPr>
          <w:lang w:val="id-ID"/>
        </w:rPr>
        <w:t xml:space="preserve">Abdullah bin Qasim al-Wasyli, </w:t>
      </w:r>
      <w:r>
        <w:rPr>
          <w:i/>
          <w:iCs/>
          <w:lang w:val="id-ID"/>
        </w:rPr>
        <w:t>Syarah Ushul ‘Isyrin: Menyelami 20 Prinsip Hasan al-Banna</w:t>
      </w:r>
      <w:r>
        <w:rPr>
          <w:lang w:val="id-ID"/>
        </w:rPr>
        <w:t>, terj. Kamal Fauzi dkk, (Solo: Era Intermedia, 2011), hlm. 302-304.</w:t>
      </w:r>
    </w:p>
  </w:footnote>
  <w:footnote w:id="11">
    <w:p w:rsidR="00571DDB" w:rsidRDefault="00C928D7">
      <w:pPr>
        <w:pStyle w:val="FootnoteText"/>
        <w:ind w:firstLine="567"/>
        <w:rPr>
          <w:lang w:val="id-ID"/>
        </w:rPr>
      </w:pPr>
      <w:r>
        <w:rPr>
          <w:rStyle w:val="FootnoteReference"/>
        </w:rPr>
        <w:footnoteRef/>
      </w:r>
      <w:r>
        <w:t xml:space="preserve"> </w:t>
      </w:r>
      <w:r>
        <w:rPr>
          <w:lang w:val="id-ID"/>
        </w:rPr>
        <w:t>Ibid., hlm. 15-17.</w:t>
      </w:r>
    </w:p>
  </w:footnote>
  <w:footnote w:id="12">
    <w:p w:rsidR="00571DDB" w:rsidRDefault="00C928D7">
      <w:pPr>
        <w:pStyle w:val="FootnoteText"/>
        <w:spacing w:before="120"/>
        <w:ind w:firstLine="567"/>
      </w:pPr>
      <w:r>
        <w:rPr>
          <w:rStyle w:val="FootnoteReference"/>
        </w:rPr>
        <w:footnoteRef/>
      </w:r>
      <w:r>
        <w:t xml:space="preserve"> Imam Ghazali Said, </w:t>
      </w:r>
      <w:r>
        <w:rPr>
          <w:i/>
          <w:iCs/>
        </w:rPr>
        <w:t>Ideologi Kaum Fundamentalis</w:t>
      </w:r>
      <w:r>
        <w:t xml:space="preserve"> (Surabaya: Diantama, 2003), hlm. 77-</w:t>
      </w:r>
      <w:r>
        <w:rPr>
          <w:lang w:val="id-ID"/>
        </w:rPr>
        <w:t>7</w:t>
      </w:r>
      <w:r>
        <w:t>8</w:t>
      </w:r>
    </w:p>
  </w:footnote>
  <w:footnote w:id="13">
    <w:p w:rsidR="00571DDB" w:rsidRDefault="00C928D7">
      <w:pPr>
        <w:pStyle w:val="FootnoteText"/>
        <w:ind w:firstLine="567"/>
        <w:jc w:val="both"/>
        <w:rPr>
          <w:lang w:val="id-ID"/>
        </w:rPr>
      </w:pPr>
      <w:r>
        <w:rPr>
          <w:rStyle w:val="FootnoteReference"/>
        </w:rPr>
        <w:footnoteRef/>
      </w:r>
      <w:r>
        <w:t xml:space="preserve"> Ismail Raji al-Faruqi, </w:t>
      </w:r>
      <w:r>
        <w:rPr>
          <w:i/>
          <w:iCs/>
        </w:rPr>
        <w:t>Tawhid: Its Implications for Thought and Life</w:t>
      </w:r>
      <w:r>
        <w:t xml:space="preserve"> (Ttp: The International Institute of Islamic Thought, 1982)</w:t>
      </w:r>
      <w:r>
        <w:rPr>
          <w:lang w:val="id-ID"/>
        </w:rPr>
        <w:t xml:space="preserve">, hlm. </w:t>
      </w:r>
      <w:r>
        <w:rPr>
          <w:lang w:val="id-ID"/>
        </w:rPr>
        <w:t>171-183.</w:t>
      </w:r>
    </w:p>
  </w:footnote>
  <w:footnote w:id="14">
    <w:p w:rsidR="00571DDB" w:rsidRDefault="00C928D7">
      <w:pPr>
        <w:pStyle w:val="FootnoteText"/>
        <w:ind w:firstLine="567"/>
        <w:rPr>
          <w:lang w:val="id-ID"/>
        </w:rPr>
      </w:pPr>
      <w:r>
        <w:rPr>
          <w:rStyle w:val="FootnoteReference"/>
        </w:rPr>
        <w:footnoteRef/>
      </w:r>
      <w:r>
        <w:rPr>
          <w:lang w:val="id-ID"/>
        </w:rPr>
        <w:t xml:space="preserve"> </w:t>
      </w:r>
      <w:r>
        <w:rPr>
          <w:i/>
          <w:iCs/>
          <w:lang w:val="id-ID"/>
        </w:rPr>
        <w:t>Ibid.</w:t>
      </w:r>
      <w:r>
        <w:rPr>
          <w:lang w:val="id-ID"/>
        </w:rPr>
        <w:t>, hlm. 1-17.</w:t>
      </w:r>
    </w:p>
  </w:footnote>
  <w:footnote w:id="15">
    <w:p w:rsidR="00571DDB" w:rsidRDefault="00C928D7">
      <w:pPr>
        <w:pStyle w:val="FootnoteText"/>
        <w:spacing w:before="120"/>
        <w:ind w:firstLine="567"/>
        <w:rPr>
          <w:lang w:val="id-ID"/>
        </w:rPr>
      </w:pPr>
      <w:r>
        <w:rPr>
          <w:rStyle w:val="FootnoteReference"/>
        </w:rPr>
        <w:footnoteRef/>
      </w:r>
      <w:r>
        <w:rPr>
          <w:lang w:val="id-ID"/>
        </w:rPr>
        <w:t xml:space="preserve"> </w:t>
      </w:r>
      <w:r>
        <w:rPr>
          <w:i/>
          <w:iCs/>
          <w:lang w:val="id-ID"/>
        </w:rPr>
        <w:t>Ibid.</w:t>
      </w:r>
      <w:r>
        <w:rPr>
          <w:lang w:val="id-ID"/>
        </w:rPr>
        <w:t xml:space="preserve"> hlm. vii.</w:t>
      </w:r>
    </w:p>
  </w:footnote>
  <w:footnote w:id="16">
    <w:p w:rsidR="00571DDB" w:rsidRDefault="00C928D7">
      <w:pPr>
        <w:pStyle w:val="FootnoteText"/>
        <w:spacing w:before="120"/>
        <w:ind w:firstLine="567"/>
        <w:jc w:val="both"/>
      </w:pPr>
      <w:r>
        <w:rPr>
          <w:rStyle w:val="FootnoteReference"/>
        </w:rPr>
        <w:footnoteRef/>
      </w:r>
      <w:r>
        <w:t xml:space="preserve"> Harun Nasution, </w:t>
      </w:r>
      <w:r>
        <w:rPr>
          <w:i/>
          <w:iCs/>
        </w:rPr>
        <w:t>Teologi Islam: Aliran-Aliran, Sejarah dan Analisa Perbandingan</w:t>
      </w:r>
      <w:r>
        <w:t xml:space="preserve"> (Jakarta: Penerbit Universitas Indonesia, 1986), hlm. 135.</w:t>
      </w:r>
    </w:p>
  </w:footnote>
  <w:footnote w:id="17">
    <w:p w:rsidR="00571DDB" w:rsidRDefault="00C928D7">
      <w:pPr>
        <w:pStyle w:val="FootnoteText"/>
        <w:ind w:firstLine="567"/>
        <w:jc w:val="both"/>
        <w:rPr>
          <w:lang w:val="id-ID"/>
        </w:rPr>
      </w:pPr>
      <w:r>
        <w:rPr>
          <w:rStyle w:val="FootnoteReference"/>
        </w:rPr>
        <w:footnoteRef/>
      </w:r>
      <w:r>
        <w:rPr>
          <w:lang w:val="id-ID"/>
        </w:rPr>
        <w:t xml:space="preserve">Muhammad Shalih al-‘Utsaimin, </w:t>
      </w:r>
      <w:r>
        <w:rPr>
          <w:i/>
          <w:iCs/>
          <w:lang w:val="id-ID"/>
        </w:rPr>
        <w:t>Syarh al-‘Aqidah al-Wasithiyyah</w:t>
      </w:r>
      <w:r>
        <w:rPr>
          <w:lang w:val="id-ID"/>
        </w:rPr>
        <w:t xml:space="preserve"> (Kairo: Dar al-‘Aqidah, 2003). </w:t>
      </w:r>
    </w:p>
  </w:footnote>
  <w:footnote w:id="18">
    <w:p w:rsidR="00571DDB" w:rsidRDefault="00C928D7">
      <w:pPr>
        <w:pStyle w:val="FootnoteText"/>
        <w:ind w:firstLine="567"/>
        <w:rPr>
          <w:lang w:val="id-ID"/>
        </w:rPr>
      </w:pPr>
      <w:r>
        <w:rPr>
          <w:rStyle w:val="FootnoteReference"/>
        </w:rPr>
        <w:footnoteRef/>
      </w:r>
      <w:r>
        <w:rPr>
          <w:lang w:val="id-ID"/>
        </w:rPr>
        <w:t xml:space="preserve"> </w:t>
      </w:r>
      <w:r>
        <w:rPr>
          <w:lang w:val="id-ID"/>
        </w:rPr>
        <w:t xml:space="preserve">Muhammad Abduh, </w:t>
      </w:r>
      <w:r>
        <w:rPr>
          <w:i/>
          <w:iCs/>
          <w:lang w:val="id-ID"/>
        </w:rPr>
        <w:t xml:space="preserve">Risalah at-Tauhid </w:t>
      </w:r>
      <w:r>
        <w:rPr>
          <w:lang w:val="id-ID"/>
        </w:rPr>
        <w:t>(Beirut: Dar al-Kutub al-‘Ilmiyah, tt), hlm. 18-31.</w:t>
      </w:r>
    </w:p>
  </w:footnote>
  <w:footnote w:id="19">
    <w:p w:rsidR="00571DDB" w:rsidRDefault="00C928D7">
      <w:pPr>
        <w:pStyle w:val="FootnoteText"/>
        <w:ind w:firstLine="567"/>
        <w:rPr>
          <w:lang w:val="id-ID"/>
        </w:rPr>
      </w:pPr>
      <w:r>
        <w:rPr>
          <w:rStyle w:val="FootnoteReference"/>
        </w:rPr>
        <w:footnoteRef/>
      </w:r>
      <w:r>
        <w:rPr>
          <w:lang w:val="id-ID"/>
        </w:rPr>
        <w:t xml:space="preserve"> </w:t>
      </w:r>
      <w:r>
        <w:rPr>
          <w:lang w:val="id-ID"/>
        </w:rPr>
        <w:t>Ibid.’ hlm. 40-41.</w:t>
      </w:r>
    </w:p>
  </w:footnote>
  <w:footnote w:id="20">
    <w:p w:rsidR="00571DDB" w:rsidRDefault="00C928D7">
      <w:pPr>
        <w:pStyle w:val="FootnoteText"/>
        <w:ind w:firstLine="567"/>
        <w:rPr>
          <w:lang w:val="id-ID"/>
        </w:rPr>
      </w:pPr>
      <w:r>
        <w:rPr>
          <w:rStyle w:val="FootnoteReference"/>
        </w:rPr>
        <w:footnoteRef/>
      </w:r>
      <w:r>
        <w:rPr>
          <w:lang w:val="id-ID"/>
        </w:rPr>
        <w:t xml:space="preserve"> </w:t>
      </w:r>
      <w:r>
        <w:rPr>
          <w:lang w:val="id-ID"/>
        </w:rPr>
        <w:t>Ibid., hlm. 44-63.</w:t>
      </w:r>
    </w:p>
  </w:footnote>
  <w:footnote w:id="21">
    <w:p w:rsidR="00571DDB" w:rsidRDefault="00C928D7">
      <w:pPr>
        <w:pStyle w:val="FootnoteText"/>
        <w:ind w:firstLine="567"/>
        <w:rPr>
          <w:lang w:val="id-ID"/>
        </w:rPr>
      </w:pPr>
      <w:r>
        <w:rPr>
          <w:rStyle w:val="FootnoteReference"/>
        </w:rPr>
        <w:footnoteRef/>
      </w:r>
      <w:r>
        <w:rPr>
          <w:lang w:val="id-ID"/>
        </w:rPr>
        <w:t xml:space="preserve"> </w:t>
      </w:r>
      <w:r>
        <w:rPr>
          <w:lang w:val="id-ID"/>
        </w:rPr>
        <w:t>Ibid., hlm. 69-79..</w:t>
      </w:r>
    </w:p>
  </w:footnote>
  <w:footnote w:id="22">
    <w:p w:rsidR="00571DDB" w:rsidRDefault="00C928D7">
      <w:pPr>
        <w:pStyle w:val="FootnoteText"/>
        <w:ind w:firstLine="567"/>
        <w:rPr>
          <w:lang w:val="id-ID"/>
        </w:rPr>
      </w:pPr>
      <w:r>
        <w:rPr>
          <w:rStyle w:val="FootnoteReference"/>
        </w:rPr>
        <w:footnoteRef/>
      </w:r>
      <w:r>
        <w:rPr>
          <w:lang w:val="id-ID"/>
        </w:rPr>
        <w:t xml:space="preserve"> </w:t>
      </w:r>
      <w:r>
        <w:rPr>
          <w:lang w:val="id-ID"/>
        </w:rPr>
        <w:t>Ibid., hlm. 80-95.</w:t>
      </w:r>
    </w:p>
  </w:footnote>
  <w:footnote w:id="23">
    <w:p w:rsidR="00571DDB" w:rsidRDefault="00C928D7">
      <w:pPr>
        <w:pStyle w:val="FootnoteText"/>
        <w:spacing w:before="120"/>
        <w:ind w:firstLine="567"/>
        <w:jc w:val="both"/>
      </w:pPr>
      <w:r>
        <w:rPr>
          <w:rStyle w:val="FootnoteReference"/>
        </w:rPr>
        <w:footnoteRef/>
      </w:r>
      <w:r>
        <w:t xml:space="preserve"> Fazlur Rahman, </w:t>
      </w:r>
      <w:r>
        <w:rPr>
          <w:i/>
          <w:iCs/>
        </w:rPr>
        <w:t xml:space="preserve">Major Themes of </w:t>
      </w:r>
      <w:proofErr w:type="gramStart"/>
      <w:r>
        <w:rPr>
          <w:i/>
          <w:iCs/>
        </w:rPr>
        <w:t>The</w:t>
      </w:r>
      <w:proofErr w:type="gramEnd"/>
      <w:r>
        <w:rPr>
          <w:i/>
          <w:iCs/>
        </w:rPr>
        <w:t xml:space="preserve"> Qur’an,</w:t>
      </w:r>
      <w:r>
        <w:t xml:space="preserve"> (Chicago: Biblioteca Islamica, 1980).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DDB" w:rsidRDefault="00571D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DDB" w:rsidRDefault="00C928D7">
    <w:pPr>
      <w:pStyle w:val="Header"/>
      <w:jc w:val="center"/>
    </w:pPr>
    <w:r>
      <w:fldChar w:fldCharType="begin"/>
    </w:r>
    <w:r>
      <w:instrText xml:space="preserve"> PAGE   \* MERGEFORMAT </w:instrText>
    </w:r>
    <w:r>
      <w:fldChar w:fldCharType="separate"/>
    </w:r>
    <w:r w:rsidR="00B5444E">
      <w:rPr>
        <w:noProof/>
      </w:rPr>
      <w:t>2</w:t>
    </w:r>
    <w:r>
      <w:fldChar w:fldCharType="end"/>
    </w:r>
  </w:p>
  <w:p w:rsidR="00571DDB" w:rsidRDefault="00571D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DDB" w:rsidRDefault="00571D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C5CCA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41DE3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3"/>
    <w:multiLevelType w:val="hybridMultilevel"/>
    <w:tmpl w:val="2F846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E4B82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576AE1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0000006"/>
    <w:multiLevelType w:val="hybridMultilevel"/>
    <w:tmpl w:val="E856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7"/>
    <w:multiLevelType w:val="hybridMultilevel"/>
    <w:tmpl w:val="8BD63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8"/>
    <w:multiLevelType w:val="hybridMultilevel"/>
    <w:tmpl w:val="1C2ABBF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9"/>
    <w:multiLevelType w:val="hybridMultilevel"/>
    <w:tmpl w:val="26167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A"/>
    <w:multiLevelType w:val="hybridMultilevel"/>
    <w:tmpl w:val="F1F62872"/>
    <w:lvl w:ilvl="0" w:tplc="4EF6A3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000000B"/>
    <w:multiLevelType w:val="hybridMultilevel"/>
    <w:tmpl w:val="D1AE9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C"/>
    <w:multiLevelType w:val="hybridMultilevel"/>
    <w:tmpl w:val="C0061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D"/>
    <w:multiLevelType w:val="hybridMultilevel"/>
    <w:tmpl w:val="932A3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E"/>
    <w:multiLevelType w:val="hybridMultilevel"/>
    <w:tmpl w:val="44827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F"/>
    <w:multiLevelType w:val="hybridMultilevel"/>
    <w:tmpl w:val="5CB6460C"/>
    <w:lvl w:ilvl="0" w:tplc="215E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00000010"/>
    <w:multiLevelType w:val="hybridMultilevel"/>
    <w:tmpl w:val="78969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1"/>
    <w:multiLevelType w:val="hybridMultilevel"/>
    <w:tmpl w:val="115E8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hybridMultilevel"/>
    <w:tmpl w:val="2AD21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3"/>
    <w:multiLevelType w:val="hybridMultilevel"/>
    <w:tmpl w:val="E16EF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4"/>
    <w:multiLevelType w:val="hybridMultilevel"/>
    <w:tmpl w:val="C0F04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0000015"/>
    <w:multiLevelType w:val="hybridMultilevel"/>
    <w:tmpl w:val="649A04FC"/>
    <w:lvl w:ilvl="0" w:tplc="2048EDF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0000016"/>
    <w:multiLevelType w:val="hybridMultilevel"/>
    <w:tmpl w:val="68562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0000017"/>
    <w:multiLevelType w:val="hybridMultilevel"/>
    <w:tmpl w:val="CE8E96B8"/>
    <w:lvl w:ilvl="0" w:tplc="7576B4B8">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00000018"/>
    <w:multiLevelType w:val="hybridMultilevel"/>
    <w:tmpl w:val="F12E2C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052AF9"/>
    <w:multiLevelType w:val="hybridMultilevel"/>
    <w:tmpl w:val="F71CA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9"/>
  </w:num>
  <w:num w:numId="3">
    <w:abstractNumId w:val="3"/>
  </w:num>
  <w:num w:numId="4">
    <w:abstractNumId w:val="1"/>
  </w:num>
  <w:num w:numId="5">
    <w:abstractNumId w:val="24"/>
  </w:num>
  <w:num w:numId="6">
    <w:abstractNumId w:val="0"/>
  </w:num>
  <w:num w:numId="7">
    <w:abstractNumId w:val="18"/>
  </w:num>
  <w:num w:numId="8">
    <w:abstractNumId w:val="15"/>
  </w:num>
  <w:num w:numId="9">
    <w:abstractNumId w:val="4"/>
  </w:num>
  <w:num w:numId="10">
    <w:abstractNumId w:val="12"/>
  </w:num>
  <w:num w:numId="11">
    <w:abstractNumId w:val="5"/>
  </w:num>
  <w:num w:numId="12">
    <w:abstractNumId w:val="2"/>
  </w:num>
  <w:num w:numId="13">
    <w:abstractNumId w:val="19"/>
  </w:num>
  <w:num w:numId="14">
    <w:abstractNumId w:val="11"/>
  </w:num>
  <w:num w:numId="15">
    <w:abstractNumId w:val="10"/>
  </w:num>
  <w:num w:numId="16">
    <w:abstractNumId w:val="20"/>
  </w:num>
  <w:num w:numId="17">
    <w:abstractNumId w:val="13"/>
  </w:num>
  <w:num w:numId="18">
    <w:abstractNumId w:val="14"/>
  </w:num>
  <w:num w:numId="19">
    <w:abstractNumId w:val="6"/>
  </w:num>
  <w:num w:numId="20">
    <w:abstractNumId w:val="22"/>
  </w:num>
  <w:num w:numId="21">
    <w:abstractNumId w:val="23"/>
  </w:num>
  <w:num w:numId="22">
    <w:abstractNumId w:val="8"/>
  </w:num>
  <w:num w:numId="23">
    <w:abstractNumId w:val="17"/>
  </w:num>
  <w:num w:numId="24">
    <w:abstractNumId w:val="7"/>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DDB"/>
    <w:rsid w:val="0010629E"/>
    <w:rsid w:val="001E7937"/>
    <w:rsid w:val="00571DDB"/>
    <w:rsid w:val="00B5444E"/>
    <w:rsid w:val="00C928D7"/>
    <w:rsid w:val="00FB0F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ar-SA"/>
      </w:rPr>
    </w:rPrDefault>
    <w:pPrDefault>
      <w:pPr>
        <w:spacing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styleId="FootnoteReference">
    <w:name w:val="footnote reference"/>
    <w:basedOn w:val="DefaultParagraphFont"/>
    <w:rPr>
      <w:vertAlign w:val="superscript"/>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B0F9D"/>
    <w:rPr>
      <w:rFonts w:ascii="Tahoma" w:hAnsi="Tahoma" w:cs="Tahoma"/>
      <w:sz w:val="16"/>
      <w:szCs w:val="16"/>
    </w:rPr>
  </w:style>
  <w:style w:type="character" w:customStyle="1" w:styleId="BalloonTextChar">
    <w:name w:val="Balloon Text Char"/>
    <w:basedOn w:val="DefaultParagraphFont"/>
    <w:link w:val="BalloonText"/>
    <w:uiPriority w:val="99"/>
    <w:semiHidden/>
    <w:rsid w:val="00FB0F9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ar-SA"/>
      </w:rPr>
    </w:rPrDefault>
    <w:pPrDefault>
      <w:pPr>
        <w:spacing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styleId="FootnoteReference">
    <w:name w:val="footnote reference"/>
    <w:basedOn w:val="DefaultParagraphFont"/>
    <w:rPr>
      <w:vertAlign w:val="superscript"/>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B0F9D"/>
    <w:rPr>
      <w:rFonts w:ascii="Tahoma" w:hAnsi="Tahoma" w:cs="Tahoma"/>
      <w:sz w:val="16"/>
      <w:szCs w:val="16"/>
    </w:rPr>
  </w:style>
  <w:style w:type="character" w:customStyle="1" w:styleId="BalloonTextChar">
    <w:name w:val="Balloon Text Char"/>
    <w:basedOn w:val="DefaultParagraphFont"/>
    <w:link w:val="BalloonText"/>
    <w:uiPriority w:val="99"/>
    <w:semiHidden/>
    <w:rsid w:val="00FB0F9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19</Pages>
  <Words>4767</Words>
  <Characters>27176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cp:lastModifiedBy>
  <cp:revision>3</cp:revision>
  <cp:lastPrinted>2018-04-27T04:25:00Z</cp:lastPrinted>
  <dcterms:created xsi:type="dcterms:W3CDTF">2018-04-27T04:03:00Z</dcterms:created>
  <dcterms:modified xsi:type="dcterms:W3CDTF">2018-04-27T04:37:00Z</dcterms:modified>
</cp:coreProperties>
</file>